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cs="方正仿宋_GBK"/>
          <w:color w:val="000000" w:themeColor="text1"/>
          <w:sz w:val="32"/>
          <w:szCs w:val="32"/>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方正仿宋_GBK" w:hAnsi="方正仿宋_GBK" w:eastAsia="方正仿宋_GBK" w:cs="方正仿宋_GBK"/>
          <w:b/>
          <w:bCs/>
          <w:color w:val="000000" w:themeColor="text1"/>
          <w:sz w:val="96"/>
          <w:szCs w:val="96"/>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1" w:name="_Toc23696"/>
      <w:bookmarkStart w:id="2" w:name="_Toc2673"/>
      <w:bookmarkStart w:id="3" w:name="_Toc32507"/>
      <w:bookmarkStart w:id="4" w:name="_Toc11481"/>
      <w:bookmarkStart w:id="5" w:name="_Toc30146"/>
      <w:bookmarkStart w:id="6" w:name="_Toc24237"/>
      <w:bookmarkStart w:id="7" w:name="_Toc5947"/>
      <w:bookmarkStart w:id="8" w:name="_Toc4303"/>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竞争性谈判</w:t>
      </w:r>
      <w:bookmarkEnd w:id="1"/>
    </w:p>
    <w:p>
      <w:pPr>
        <w:jc w:val="center"/>
        <w:outlineLvl w:val="0"/>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9" w:name="_Toc24939"/>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文件</w:t>
      </w:r>
      <w:bookmarkEnd w:id="2"/>
      <w:bookmarkEnd w:id="3"/>
      <w:bookmarkEnd w:id="4"/>
      <w:bookmarkEnd w:id="5"/>
      <w:bookmarkEnd w:id="6"/>
      <w:bookmarkEnd w:id="7"/>
      <w:bookmarkEnd w:id="8"/>
      <w:bookmarkEnd w:id="9"/>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rPr>
          <w:rFonts w:hint="eastAsia" w:ascii="方正仿宋_GBK" w:hAnsi="方正仿宋_GBK" w:eastAsia="方正仿宋_GBK" w:cs="方正仿宋_GBK"/>
          <w:color w:val="000000" w:themeColor="text1"/>
          <w:sz w:val="36"/>
          <w:szCs w:val="36"/>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p>
    <w:p>
      <w:pPr>
        <w:snapToGrid w:val="0"/>
        <w:spacing w:line="400" w:lineRule="exact"/>
        <w:ind w:left="2607" w:leftChars="128" w:hanging="2249" w:hangingChars="700"/>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项</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名</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称：</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荣昌区人民医院儿科门诊装修改造工程</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采</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购</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人： 重庆市</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p>
    <w:p>
      <w:pPr>
        <w:spacing w:line="720" w:lineRule="exact"/>
        <w:jc w:val="center"/>
        <w:outlineLvl w:val="1"/>
        <w:rPr>
          <w:rFonts w:hint="eastAsia" w:ascii="方正仿宋_GBK" w:hAnsi="方正仿宋_GBK" w:eastAsia="方正仿宋_GBK" w:cs="方正仿宋_GBK"/>
          <w:b/>
          <w:bCs/>
          <w:color w:val="000000" w:themeColor="text1"/>
          <w:sz w:val="36"/>
          <w:szCs w:val="36"/>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bookmarkStart w:id="10" w:name="_Toc16428"/>
      <w:bookmarkStart w:id="11" w:name="_Toc26579"/>
      <w:bookmarkStart w:id="12" w:name="_Toc1283"/>
      <w:bookmarkStart w:id="13" w:name="_Toc2333"/>
      <w:bookmarkStart w:id="14" w:name="_Toc31039"/>
      <w:bookmarkStart w:id="15" w:name="_Toc627"/>
      <w:bookmarkStart w:id="16" w:name="_Toc1238"/>
      <w:bookmarkStart w:id="17" w:name="_Toc24460"/>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二〇二</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年八月</w:t>
      </w:r>
      <w:bookmarkEnd w:id="10"/>
      <w:bookmarkEnd w:id="11"/>
      <w:bookmarkEnd w:id="12"/>
      <w:bookmarkEnd w:id="13"/>
      <w:bookmarkEnd w:id="14"/>
      <w:bookmarkEnd w:id="15"/>
      <w:bookmarkEnd w:id="16"/>
      <w:bookmarkEnd w:id="17"/>
    </w:p>
    <w:p>
      <w:pPr>
        <w:pStyle w:val="3"/>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3"/>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目</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录</w: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instrText xml:space="preserve">TOC \o "1-2" \h \u </w:instrTex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separate"/>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_Toc18115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第一篇  竞争性谈判邀请书</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_Toc18115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3</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_Toc8457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一、竞争性谈判内容</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_Toc8457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_Toc1093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二、资金来源</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_Toc1093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_Toc3416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三、谈判资格</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_Toc3416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_Toc32504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四、</w:t>
      </w:r>
      <w:r>
        <w:rPr>
          <w:rFonts w:hint="eastAsia" w:ascii="方正仿宋_GBK" w:hAnsi="方正仿宋_GBK" w:eastAsia="方正仿宋_GBK" w:cs="方正仿宋_GBK"/>
          <w:bCs w:val="0"/>
          <w:sz w:val="28"/>
          <w:szCs w:val="28"/>
        </w:rPr>
        <w:t>谈判有关说明</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_Toc32504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_Toc21501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五、保证金</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_Toc21501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_Toc9713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六、采购项目需落实的政府采购政策</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_Toc9713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_Toc4346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七、其它有关规定</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_Toc4346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_Toc29029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八、现场踏勘</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_Toc29029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_Toc24322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九、联系方式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_Toc24322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_Toc20290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第二篇  供应商须知</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_Toc20290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8</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_Toc4506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一、谈判费用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_Toc4506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_Toc20789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二、竞争性谈判文件</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_Toc20789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_Toc21866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三、谈判要求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_Toc21866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_Toc14764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四、谈判程序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_Toc14764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_Toc19577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五、评审依据</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_Toc19577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_Toc24263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六、成交原则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_Toc24263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_Toc27501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七、成交通知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_Toc27501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_Toc20411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八、关于质疑和投诉</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_Toc20411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_Toc17733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九、签订合同</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_Toc17733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_Toc31161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十、政府采购信用融资</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_Toc31161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_Toc26581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第三篇  谈判项目</w:t>
      </w:r>
      <w:r>
        <w:rPr>
          <w:rFonts w:hint="eastAsia" w:ascii="方正仿宋_GBK" w:hAnsi="方正仿宋_GBK" w:eastAsia="方正仿宋_GBK" w:cs="方正仿宋_GBK"/>
          <w:b/>
          <w:bCs/>
          <w:sz w:val="28"/>
          <w:szCs w:val="28"/>
          <w:lang w:eastAsia="zh-CN"/>
        </w:rPr>
        <w:t>技术</w:t>
      </w:r>
      <w:r>
        <w:rPr>
          <w:rFonts w:hint="eastAsia" w:ascii="方正仿宋_GBK" w:hAnsi="方正仿宋_GBK" w:eastAsia="方正仿宋_GBK" w:cs="方正仿宋_GBK"/>
          <w:b/>
          <w:bCs/>
          <w:sz w:val="28"/>
          <w:szCs w:val="28"/>
        </w:rPr>
        <w:t>需求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_Toc26581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19</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_Toc23306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eastAsia="zh-CN"/>
        </w:rPr>
        <w:t>一、项目基本概况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_Toc23306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_Toc26876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二、装修要求（相当或不低于）</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_Toc26876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_Toc26595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eastAsia="zh-CN"/>
        </w:rPr>
        <w:t>三、项目要求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_Toc26595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_Toc4776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四、工程质量标准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_Toc4776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_Toc30429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第四篇  谈判项目</w:t>
      </w:r>
      <w:r>
        <w:rPr>
          <w:rFonts w:hint="eastAsia" w:ascii="方正仿宋_GBK" w:hAnsi="方正仿宋_GBK" w:eastAsia="方正仿宋_GBK" w:cs="方正仿宋_GBK"/>
          <w:b/>
          <w:bCs/>
          <w:sz w:val="28"/>
          <w:szCs w:val="28"/>
          <w:lang w:eastAsia="zh-CN"/>
        </w:rPr>
        <w:t>商务</w:t>
      </w:r>
      <w:r>
        <w:rPr>
          <w:rFonts w:hint="eastAsia" w:ascii="方正仿宋_GBK" w:hAnsi="方正仿宋_GBK" w:eastAsia="方正仿宋_GBK" w:cs="方正仿宋_GBK"/>
          <w:b/>
          <w:bCs/>
          <w:sz w:val="28"/>
          <w:szCs w:val="28"/>
        </w:rPr>
        <w:t>需求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_Toc30429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22</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_Toc19431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一、工期要求、实施地点、质量要求及验收方式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_Toc19431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_Toc31291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二、工程质量要求及售后服务</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_Toc31291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_Toc3991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三、谈判报价的修正</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_Toc3991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_Toc13418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四、结算原则及变更估计的原则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_Toc13418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_Toc1391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五、履约担保</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_Toc1391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_Toc18772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六、付款方式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_Toc18772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_Toc14456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七、低价风险担保（若有）</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_Toc14456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_Toc23426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八、知识产权</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_Toc23426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_Toc32306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九、其他要求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_Toc32306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_Toc6949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w:t>
      </w:r>
      <w:r>
        <w:rPr>
          <w:rFonts w:hint="eastAsia" w:ascii="方正仿宋_GBK" w:hAnsi="方正仿宋_GBK" w:eastAsia="方正仿宋_GBK" w:cs="方正仿宋_GBK"/>
          <w:b/>
          <w:bCs/>
          <w:sz w:val="28"/>
          <w:szCs w:val="28"/>
          <w:lang w:eastAsia="zh-CN"/>
        </w:rPr>
        <w:t>五</w:t>
      </w:r>
      <w:r>
        <w:rPr>
          <w:rFonts w:hint="eastAsia" w:ascii="方正仿宋_GBK" w:hAnsi="方正仿宋_GBK" w:eastAsia="方正仿宋_GBK" w:cs="方正仿宋_GBK"/>
          <w:b/>
          <w:bCs/>
          <w:sz w:val="28"/>
          <w:szCs w:val="28"/>
        </w:rPr>
        <w:t>篇  合同主要条款和格式合同</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_Toc6949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27</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_Toc31734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w:t>
      </w:r>
      <w:r>
        <w:rPr>
          <w:rFonts w:hint="eastAsia" w:ascii="方正仿宋_GBK" w:hAnsi="方正仿宋_GBK" w:eastAsia="方正仿宋_GBK" w:cs="方正仿宋_GBK"/>
          <w:b/>
          <w:bCs/>
          <w:sz w:val="28"/>
          <w:szCs w:val="28"/>
          <w:lang w:eastAsia="zh-CN"/>
        </w:rPr>
        <w:t>六</w:t>
      </w:r>
      <w:r>
        <w:rPr>
          <w:rFonts w:hint="eastAsia" w:ascii="方正仿宋_GBK" w:hAnsi="方正仿宋_GBK" w:eastAsia="方正仿宋_GBK" w:cs="方正仿宋_GBK"/>
          <w:b/>
          <w:bCs/>
          <w:sz w:val="28"/>
          <w:szCs w:val="28"/>
        </w:rPr>
        <w:t>篇  响应文件编制要求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_Toc31734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49</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_Toc7796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一、经济部分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_Toc7796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_Toc25686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二、技术部分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_Toc25686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_Toc22028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三、</w:t>
      </w:r>
      <w:r>
        <w:rPr>
          <w:rFonts w:hint="eastAsia" w:ascii="方正仿宋_GBK" w:hAnsi="方正仿宋_GBK" w:eastAsia="方正仿宋_GBK" w:cs="方正仿宋_GBK"/>
          <w:sz w:val="28"/>
          <w:szCs w:val="28"/>
          <w:lang w:eastAsia="zh-CN"/>
        </w:rPr>
        <w:t>商务</w:t>
      </w:r>
      <w:r>
        <w:rPr>
          <w:rFonts w:hint="eastAsia" w:ascii="方正仿宋_GBK" w:hAnsi="方正仿宋_GBK" w:eastAsia="方正仿宋_GBK" w:cs="方正仿宋_GBK"/>
          <w:sz w:val="28"/>
          <w:szCs w:val="28"/>
        </w:rPr>
        <w:t>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_Toc22028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_Toc5255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四、资格条件及其他</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_Toc5255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_Toc17711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五、其他应提供的资料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_Toc17711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21"/>
        <w:keepNext w:val="0"/>
        <w:keepLines w:val="0"/>
        <w:pageBreakBefore w:val="0"/>
        <w:tabs>
          <w:tab w:val="right" w:leader="dot" w:pos="9412"/>
        </w:tabs>
        <w:kinsoku/>
        <w:wordWrap/>
        <w:overflowPunct/>
        <w:topLinePunct w:val="0"/>
        <w:autoSpaceDE/>
        <w:autoSpaceDN/>
        <w:bidi w:val="0"/>
        <w:adjustRightInd/>
        <w:snapToGrid/>
        <w:spacing w:line="480" w:lineRule="exac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Cs w:val="30"/>
          <w14:textFill>
            <w14:solidFill>
              <w14:schemeClr w14:val="tx1"/>
            </w14:solidFill>
          </w14:textFill>
        </w:rPr>
      </w:pPr>
      <w:bookmarkStart w:id="18" w:name="_Toc8212"/>
      <w:bookmarkStart w:id="19" w:name="_Toc12789052"/>
      <w:bookmarkStart w:id="20" w:name="_Toc18115"/>
      <w:bookmarkStart w:id="21" w:name="_Toc31666"/>
      <w:bookmarkStart w:id="22" w:name="_Toc11641050"/>
      <w:r>
        <w:rPr>
          <w:rFonts w:hint="eastAsia" w:ascii="方正仿宋_GBK" w:hAnsi="方正仿宋_GBK" w:eastAsia="方正仿宋_GBK" w:cs="方正仿宋_GBK"/>
          <w:b/>
          <w:color w:val="000000" w:themeColor="text1"/>
          <w:sz w:val="36"/>
          <w:szCs w:val="30"/>
          <w14:textFill>
            <w14:solidFill>
              <w14:schemeClr w14:val="tx1"/>
            </w14:solidFill>
          </w14:textFill>
        </w:rPr>
        <w:t>第一篇  竞争性谈判邀请书</w:t>
      </w:r>
      <w:bookmarkEnd w:id="18"/>
      <w:bookmarkEnd w:id="19"/>
      <w:bookmarkEnd w:id="20"/>
      <w:bookmarkEnd w:id="21"/>
      <w:bookmarkEnd w:id="2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重庆市荣昌区人民医院（以下简称：采购人）儿科门诊装修改造工程</w:t>
      </w:r>
      <w:r>
        <w:rPr>
          <w:rFonts w:hint="eastAsia" w:ascii="方正仿宋_GBK" w:hAnsi="方正仿宋_GBK" w:eastAsia="方正仿宋_GBK" w:cs="方正仿宋_GBK"/>
          <w:color w:val="000000" w:themeColor="text1"/>
          <w:sz w:val="24"/>
          <w:szCs w:val="24"/>
          <w14:textFill>
            <w14:solidFill>
              <w14:schemeClr w14:val="tx1"/>
            </w14:solidFill>
          </w14:textFill>
        </w:rPr>
        <w:t>进行竞争性谈判采购。欢迎有资格的供应商前来参加谈判。</w:t>
      </w:r>
      <w:bookmarkStart w:id="23" w:name="_Toc313893526"/>
      <w:bookmarkStart w:id="24" w:name="_Toc17716"/>
      <w:bookmarkStart w:id="25" w:name="_Toc317775175"/>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26" w:name="_Toc24895"/>
      <w:bookmarkStart w:id="27" w:name="_Toc8457"/>
      <w:r>
        <w:rPr>
          <w:rFonts w:hint="eastAsia" w:ascii="方正仿宋_GBK" w:hAnsi="方正仿宋_GBK" w:eastAsia="方正仿宋_GBK" w:cs="方正仿宋_GBK"/>
          <w:b/>
          <w:bCs w:val="0"/>
          <w:color w:val="000000" w:themeColor="text1"/>
          <w:sz w:val="24"/>
          <w:szCs w:val="24"/>
          <w14:textFill>
            <w14:solidFill>
              <w14:schemeClr w14:val="tx1"/>
            </w14:solidFill>
          </w14:textFill>
        </w:rPr>
        <w:t>一、竞争性谈判内容</w:t>
      </w:r>
      <w:bookmarkEnd w:id="23"/>
      <w:bookmarkEnd w:id="24"/>
      <w:bookmarkEnd w:id="25"/>
      <w:bookmarkEnd w:id="26"/>
      <w:bookmarkEnd w:id="27"/>
    </w:p>
    <w:tbl>
      <w:tblPr>
        <w:tblStyle w:val="18"/>
        <w:tblW w:w="10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075"/>
        <w:gridCol w:w="1387"/>
        <w:gridCol w:w="1363"/>
        <w:gridCol w:w="975"/>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1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分包号</w:t>
            </w:r>
          </w:p>
        </w:tc>
        <w:tc>
          <w:tcPr>
            <w:tcW w:w="2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分包名称</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保证金</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975"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kern w:val="2"/>
                <w:sz w:val="21"/>
                <w:szCs w:val="21"/>
                <w:lang w:val="en-US" w:eastAsia="zh-CN" w:bidi="ar-SA"/>
              </w:rPr>
            </w:pPr>
            <w:r>
              <w:rPr>
                <w:rFonts w:hint="eastAsia" w:ascii="方正仿宋_GBK" w:hAnsi="方正仿宋_GBK" w:eastAsia="方正仿宋_GBK" w:cs="方正仿宋_GBK"/>
                <w:b/>
                <w:sz w:val="21"/>
                <w:szCs w:val="21"/>
              </w:rPr>
              <w:t>承包方式</w:t>
            </w:r>
          </w:p>
        </w:tc>
        <w:tc>
          <w:tcPr>
            <w:tcW w:w="3841"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28" w:name="_Hlk34447791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荣昌区人民医院儿科门诊装修改造工程</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197672.45</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3800</w:t>
            </w:r>
          </w:p>
        </w:tc>
        <w:tc>
          <w:tcPr>
            <w:tcW w:w="975"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kern w:val="2"/>
                <w:sz w:val="21"/>
                <w:szCs w:val="21"/>
                <w:lang w:val="en-US" w:eastAsia="zh-CN" w:bidi="ar-SA"/>
              </w:rPr>
            </w:pPr>
            <w:r>
              <w:rPr>
                <w:rFonts w:hint="eastAsia" w:ascii="方正仿宋_GBK" w:hAnsi="方正仿宋_GBK" w:eastAsia="方正仿宋_GBK" w:cs="方正仿宋_GBK"/>
                <w:b/>
                <w:sz w:val="21"/>
                <w:szCs w:val="21"/>
              </w:rPr>
              <w:t>清单计价据实结算</w:t>
            </w:r>
          </w:p>
        </w:tc>
        <w:tc>
          <w:tcPr>
            <w:tcW w:w="3841"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1、采购预算进行双控，即总价控制和所有分项报价控制。供应商的谈判报价总价和各清单子项均不得超过最高限价。</w:t>
            </w:r>
          </w:p>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2、采购标的对应的中小企业划分标准所属行业为建筑业。</w:t>
            </w:r>
          </w:p>
        </w:tc>
      </w:tr>
      <w:bookmarkEnd w:id="28"/>
    </w:tbl>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bookmarkStart w:id="29" w:name="_Toc23154"/>
      <w:bookmarkStart w:id="30" w:name="_Toc12282"/>
      <w:bookmarkStart w:id="31" w:name="_Toc20689"/>
      <w:bookmarkStart w:id="32" w:name="_Toc26625"/>
      <w:bookmarkStart w:id="33" w:name="_Toc691"/>
      <w:bookmarkStart w:id="34" w:name="_Toc1093"/>
      <w:bookmarkStart w:id="35" w:name="_Toc373860293"/>
      <w:bookmarkStart w:id="36" w:name="_Toc317775178"/>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1、供应商公章以供应商单位法人公章为准，其他“业务章”、“专用章”等不得作为供应商公章使用</w:t>
      </w:r>
      <w:bookmarkEnd w:id="29"/>
      <w:bookmarkEnd w:id="30"/>
      <w:bookmarkEnd w:id="31"/>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2、材料产品质量必须符合国标标准；</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3、项目实施全过程中，安全问题由成交供应商负责。成交供应商在施工时必须做到文明施工，不得影响交叉施工单位的施工和相邻单位以及业主的正常工作、生活秩序。若发生影响，责任及费用由成交供应商承担。</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二、资金来源</w:t>
      </w:r>
      <w:bookmarkEnd w:id="32"/>
      <w:bookmarkEnd w:id="33"/>
      <w:bookmarkEnd w:id="34"/>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7" w:name="_Toc1123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自筹资金</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38" w:name="_Toc12524"/>
      <w:bookmarkStart w:id="39" w:name="_Toc3416"/>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三、谈判资格</w:t>
      </w:r>
      <w:bookmarkEnd w:id="37"/>
      <w:bookmarkEnd w:id="38"/>
      <w:bookmarkEnd w:id="3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40" w:name="_Toc10744"/>
      <w:bookmarkStart w:id="41" w:name="_Toc3908"/>
      <w:bookmarkStart w:id="42" w:name="_Toc19723"/>
      <w:bookmarkStart w:id="43" w:name="_Toc6975"/>
      <w:bookmarkStart w:id="44" w:name="_Toc29767"/>
      <w:r>
        <w:rPr>
          <w:rFonts w:hint="eastAsia" w:ascii="方正仿宋_GBK" w:hAnsi="方正仿宋_GBK" w:eastAsia="方正仿宋_GBK" w:cs="方正仿宋_GBK"/>
          <w:color w:val="000000" w:themeColor="text1"/>
          <w:sz w:val="24"/>
          <w:szCs w:val="24"/>
          <w14:textFill>
            <w14:solidFill>
              <w14:schemeClr w14:val="tx1"/>
            </w14:solidFill>
          </w14:textFill>
        </w:rPr>
        <w:t>（一）一般资格条件</w:t>
      </w:r>
      <w:bookmarkEnd w:id="40"/>
      <w:bookmarkEnd w:id="41"/>
      <w:bookmarkEnd w:id="42"/>
      <w:bookmarkEnd w:id="43"/>
      <w:bookmarkEnd w:id="4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（二）特定资格条件</w:t>
      </w:r>
    </w:p>
    <w:p>
      <w:pPr>
        <w:spacing w:line="400" w:lineRule="exact"/>
        <w:ind w:firstLine="480" w:firstLineChars="200"/>
        <w:rPr>
          <w:rFonts w:hint="eastAsia" w:ascii="方正仿宋_GBK" w:hAnsi="方正仿宋_GBK" w:eastAsia="方正仿宋_GBK" w:cs="方正仿宋_GBK"/>
          <w:sz w:val="24"/>
          <w:szCs w:val="24"/>
        </w:rPr>
      </w:pPr>
      <w:bookmarkStart w:id="45" w:name="_Toc5250"/>
      <w:bookmarkStart w:id="46" w:name="_Toc5644"/>
      <w:bookmarkStart w:id="47" w:name="_Toc32504"/>
      <w:r>
        <w:rPr>
          <w:rFonts w:hint="eastAsia" w:ascii="方正仿宋_GBK" w:hAnsi="方正仿宋_GBK" w:eastAsia="方正仿宋_GBK" w:cs="方正仿宋_GBK"/>
          <w:sz w:val="24"/>
          <w:szCs w:val="24"/>
        </w:rPr>
        <w:t>1、具有国家建设行政主管部门颁发的建筑装修装饰工程专业承包贰级及以上资质；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注册建造师（项目经理）一名，取得二级注册建造师资格证书；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专职安全生产管理人员一名，持有安全员C证；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现场施工员一名，常驻施工现场，能合理安排工期、现场协调；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以上人员一人一证，人证合一，不得兼任。</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以上</w:t>
      </w:r>
      <w:r>
        <w:rPr>
          <w:rFonts w:hint="eastAsia" w:ascii="方正仿宋_GBK" w:hAnsi="方正仿宋_GBK" w:eastAsia="方正仿宋_GBK" w:cs="方正仿宋_GBK"/>
          <w:sz w:val="24"/>
          <w:szCs w:val="24"/>
        </w:rPr>
        <w:t>人</w:t>
      </w:r>
      <w:r>
        <w:rPr>
          <w:rFonts w:hint="eastAsia" w:ascii="方正仿宋_GBK" w:hAnsi="方正仿宋_GBK" w:eastAsia="方正仿宋_GBK" w:cs="方正仿宋_GBK"/>
          <w:sz w:val="24"/>
          <w:szCs w:val="24"/>
          <w:lang w:val="en-US" w:eastAsia="zh-CN"/>
        </w:rPr>
        <w:t>员</w:t>
      </w:r>
      <w:r>
        <w:rPr>
          <w:rFonts w:hint="eastAsia" w:ascii="方正仿宋_GBK" w:hAnsi="方正仿宋_GBK" w:eastAsia="方正仿宋_GBK" w:cs="方正仿宋_GBK"/>
          <w:sz w:val="24"/>
          <w:szCs w:val="24"/>
        </w:rPr>
        <w:t>须随身携带以上所有复印件的原件备查。</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b/>
          <w:bCs w:val="0"/>
          <w:color w:val="000000" w:themeColor="text1"/>
          <w:sz w:val="24"/>
          <w:szCs w:val="24"/>
          <w14:textFill>
            <w14:solidFill>
              <w14:schemeClr w14:val="tx1"/>
            </w14:solidFill>
          </w14:textFill>
        </w:rPr>
        <w:t>谈判有关说明</w:t>
      </w:r>
      <w:bookmarkEnd w:id="35"/>
      <w:bookmarkEnd w:id="45"/>
      <w:bookmarkEnd w:id="46"/>
      <w:bookmarkEnd w:id="47"/>
    </w:p>
    <w:p>
      <w:pPr>
        <w:pStyle w:val="6"/>
        <w:keepNext/>
        <w:keepLines/>
        <w:pageBreakBefore w:val="0"/>
        <w:widowControl w:val="0"/>
        <w:kinsoku/>
        <w:wordWrap/>
        <w:overflowPunct/>
        <w:topLinePunct w:val="0"/>
        <w:autoSpaceDE/>
        <w:autoSpaceDN/>
        <w:bidi w:val="0"/>
        <w:adjustRightInd/>
        <w:snapToGrid/>
        <w:spacing w:before="0" w:after="0" w:line="440" w:lineRule="exact"/>
        <w:ind w:left="-280" w:leftChars="-100" w:firstLine="480" w:firstLineChars="200"/>
        <w:textAlignment w:val="auto"/>
        <w:outlineLvl w:val="9"/>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（二）按《重庆市财政局关于进一步规范响应报名及保证金缴纳的通知》（渝财采购﹝2013﹞30号）文的规定，报名方式为谈判当天现场报名。</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（三）竞争性谈判文件售价为：单份售价为：0元/分包（售后不退）。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8" w:name="_Toc14773"/>
      <w:bookmarkStart w:id="49" w:name="_Toc23695"/>
      <w:bookmarkStart w:id="50" w:name="_Toc17666"/>
      <w:bookmarkStart w:id="51" w:name="_Toc13339"/>
      <w:bookmarkStart w:id="52" w:name="_Toc3121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1、按时递交了响应文件；</w:t>
      </w:r>
      <w:bookmarkEnd w:id="48"/>
      <w:bookmarkEnd w:id="49"/>
      <w:bookmarkEnd w:id="50"/>
      <w:bookmarkEnd w:id="51"/>
      <w:bookmarkEnd w:id="5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3" w:name="_Toc17140"/>
      <w:bookmarkStart w:id="54" w:name="_Toc2971"/>
      <w:bookmarkStart w:id="55" w:name="_Toc14525"/>
      <w:bookmarkStart w:id="56" w:name="_Toc2335"/>
      <w:bookmarkStart w:id="57" w:name="_Toc3081"/>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2、按时足额缴纳了保证金。</w:t>
      </w:r>
      <w:bookmarkEnd w:id="53"/>
      <w:bookmarkEnd w:id="54"/>
      <w:bookmarkEnd w:id="55"/>
      <w:bookmarkEnd w:id="56"/>
      <w:bookmarkEnd w:id="57"/>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8" w:name="_Toc8958"/>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（五）谈判地点：</w:t>
      </w:r>
      <w:bookmarkEnd w:id="58"/>
      <w:bookmarkStart w:id="59" w:name="_Toc37386029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重庆市荣昌区人民医院行政楼三楼会议室（二）</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0" w:name="_Toc4852"/>
      <w:bookmarkStart w:id="61" w:name="_Toc30302"/>
      <w:bookmarkStart w:id="62" w:name="_Toc26516"/>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（六）提交响应文件开始时间：</w:t>
      </w:r>
      <w:r>
        <w:rPr>
          <w:rFonts w:hint="eastAsia" w:ascii="方正仿宋_GBK" w:hAnsi="方正仿宋_GBK" w:eastAsia="方正仿宋_GBK" w:cs="方正仿宋_GBK"/>
          <w:b w:val="0"/>
          <w:color w:val="0000FF"/>
          <w:kern w:val="2"/>
          <w:sz w:val="24"/>
          <w:szCs w:val="24"/>
          <w:lang w:val="en-US" w:eastAsia="zh-CN" w:bidi="ar-SA"/>
        </w:rPr>
        <w:t>2021年8月11日北京时间</w:t>
      </w:r>
      <w:bookmarkEnd w:id="60"/>
      <w:bookmarkEnd w:id="61"/>
      <w:bookmarkStart w:id="63" w:name="_Toc18711"/>
      <w:bookmarkStart w:id="64" w:name="_Toc13341"/>
      <w:r>
        <w:rPr>
          <w:rFonts w:hint="eastAsia" w:ascii="方正仿宋_GBK" w:hAnsi="方正仿宋_GBK" w:eastAsia="方正仿宋_GBK" w:cs="方正仿宋_GBK"/>
          <w:b w:val="0"/>
          <w:color w:val="0000FF"/>
          <w:kern w:val="2"/>
          <w:sz w:val="24"/>
          <w:szCs w:val="24"/>
          <w:lang w:val="en-US" w:eastAsia="zh-CN" w:bidi="ar-SA"/>
        </w:rPr>
        <w:t>9时30分。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5" w:name="_Toc31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（七）提交响应文件截止时间：</w:t>
      </w:r>
      <w:r>
        <w:rPr>
          <w:rFonts w:hint="eastAsia" w:ascii="方正仿宋_GBK" w:hAnsi="方正仿宋_GBK" w:eastAsia="方正仿宋_GBK" w:cs="方正仿宋_GBK"/>
          <w:b w:val="0"/>
          <w:color w:val="0000FF"/>
          <w:kern w:val="2"/>
          <w:sz w:val="24"/>
          <w:szCs w:val="24"/>
          <w:lang w:val="en-US" w:eastAsia="zh-CN" w:bidi="ar-SA"/>
        </w:rPr>
        <w:t>2021年8月11日北京时间</w:t>
      </w:r>
      <w:bookmarkEnd w:id="63"/>
      <w:bookmarkEnd w:id="64"/>
      <w:r>
        <w:rPr>
          <w:rFonts w:hint="eastAsia" w:ascii="方正仿宋_GBK" w:hAnsi="方正仿宋_GBK" w:eastAsia="方正仿宋_GBK" w:cs="方正仿宋_GBK"/>
          <w:b w:val="0"/>
          <w:color w:val="0000FF"/>
          <w:kern w:val="2"/>
          <w:sz w:val="24"/>
          <w:szCs w:val="24"/>
          <w:lang w:val="en-US" w:eastAsia="zh-CN" w:bidi="ar-SA"/>
        </w:rPr>
        <w:t>10时00分。</w:t>
      </w:r>
      <w:bookmarkEnd w:id="65"/>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6" w:name="_Toc17749"/>
      <w:bookmarkStart w:id="67" w:name="_Toc22421"/>
      <w:bookmarkStart w:id="68" w:name="_Toc2293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（八）谈判开始时间：</w:t>
      </w:r>
      <w:r>
        <w:rPr>
          <w:rFonts w:hint="eastAsia" w:ascii="方正仿宋_GBK" w:hAnsi="方正仿宋_GBK" w:eastAsia="方正仿宋_GBK" w:cs="方正仿宋_GBK"/>
          <w:b w:val="0"/>
          <w:color w:val="0000FF"/>
          <w:kern w:val="2"/>
          <w:sz w:val="24"/>
          <w:szCs w:val="24"/>
          <w:lang w:val="en-US" w:eastAsia="zh-CN" w:bidi="ar-SA"/>
        </w:rPr>
        <w:t>2021年8月11日北京时间</w:t>
      </w:r>
      <w:bookmarkEnd w:id="66"/>
      <w:bookmarkEnd w:id="67"/>
      <w:r>
        <w:rPr>
          <w:rFonts w:hint="eastAsia" w:ascii="方正仿宋_GBK" w:hAnsi="方正仿宋_GBK" w:eastAsia="方正仿宋_GBK" w:cs="方正仿宋_GBK"/>
          <w:b w:val="0"/>
          <w:color w:val="0000FF"/>
          <w:kern w:val="2"/>
          <w:sz w:val="24"/>
          <w:szCs w:val="24"/>
          <w:lang w:val="en-US" w:eastAsia="zh-CN" w:bidi="ar-SA"/>
        </w:rPr>
        <w:t>10时0</w:t>
      </w:r>
      <w:bookmarkStart w:id="265" w:name="_GoBack"/>
      <w:bookmarkEnd w:id="265"/>
      <w:r>
        <w:rPr>
          <w:rFonts w:hint="eastAsia" w:ascii="方正仿宋_GBK" w:hAnsi="方正仿宋_GBK" w:eastAsia="方正仿宋_GBK" w:cs="方正仿宋_GBK"/>
          <w:b w:val="0"/>
          <w:color w:val="0000FF"/>
          <w:kern w:val="2"/>
          <w:sz w:val="24"/>
          <w:szCs w:val="24"/>
          <w:lang w:val="en-US" w:eastAsia="zh-CN" w:bidi="ar-SA"/>
        </w:rPr>
        <w:t>0分 。</w:t>
      </w:r>
      <w:bookmarkEnd w:id="68"/>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69" w:name="_Toc21501"/>
      <w:bookmarkStart w:id="70" w:name="_Toc17909"/>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五、保证金</w:t>
      </w:r>
      <w:bookmarkEnd w:id="69"/>
      <w:bookmarkEnd w:id="70"/>
    </w:p>
    <w:bookmarkEnd w:id="36"/>
    <w:bookmarkEnd w:id="59"/>
    <w:p>
      <w:pPr>
        <w:spacing w:line="380" w:lineRule="exact"/>
        <w:ind w:firstLine="480" w:firstLineChars="200"/>
        <w:rPr>
          <w:rFonts w:hint="eastAsia" w:ascii="方正仿宋_GBK" w:hAnsi="方正仿宋_GBK" w:eastAsia="方正仿宋_GBK" w:cs="方正仿宋_GBK"/>
          <w:sz w:val="24"/>
          <w:szCs w:val="24"/>
        </w:rPr>
      </w:pPr>
      <w:bookmarkStart w:id="71" w:name="_Toc9713"/>
      <w:bookmarkStart w:id="72" w:name="_Toc10919"/>
      <w:bookmarkStart w:id="73" w:name="_Toc17680"/>
      <w:r>
        <w:rPr>
          <w:rFonts w:hint="eastAsia" w:ascii="方正仿宋_GBK" w:hAnsi="方正仿宋_GBK" w:eastAsia="方正仿宋_GBK" w:cs="方正仿宋_GBK"/>
          <w:sz w:val="24"/>
          <w:szCs w:val="24"/>
        </w:rPr>
        <w:t>（一）缴纳保证金方式</w:t>
      </w:r>
    </w:p>
    <w:p>
      <w:pPr>
        <w:spacing w:line="400" w:lineRule="exact"/>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供应商须按本项目规定的保证金金额进行缴纳，由供应商从其账户将保证金汇至以下指定账户，保证金的开始缴纳时间为采购公告发布之日，保证金的到账截止时间为采购当天开标前。</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保证金账户：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auto"/>
          <w:sz w:val="24"/>
          <w:szCs w:val="24"/>
        </w:rPr>
        <w:t>户  名：重庆市荣昌区人民医院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xml:space="preserve">   开户行：</w:t>
      </w:r>
      <w:r>
        <w:rPr>
          <w:rFonts w:hint="eastAsia" w:ascii="方正仿宋_GBK" w:hAnsi="方正仿宋_GBK" w:eastAsia="方正仿宋_GBK" w:cs="方正仿宋_GBK"/>
          <w:color w:val="auto"/>
          <w:sz w:val="24"/>
          <w:szCs w:val="24"/>
          <w:lang w:eastAsia="zh-CN"/>
        </w:rPr>
        <w:t>中国农业银行股份有限公司重庆荣昌支行</w:t>
      </w:r>
    </w:p>
    <w:p>
      <w:pPr>
        <w:spacing w:line="400" w:lineRule="exact"/>
        <w:ind w:firstLine="240" w:firstLineChars="100"/>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24"/>
          <w:szCs w:val="24"/>
        </w:rPr>
        <w:t xml:space="preserve"> 账  号：</w:t>
      </w:r>
      <w:r>
        <w:rPr>
          <w:rFonts w:hint="eastAsia" w:ascii="方正仿宋_GBK" w:hAnsi="方正仿宋_GBK" w:eastAsia="方正仿宋_GBK" w:cs="方正仿宋_GBK"/>
          <w:color w:val="auto"/>
          <w:lang w:val="en-US" w:eastAsia="zh-CN"/>
        </w:rPr>
        <w:t>311701010400223860000000001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1.各供应商在汇入保证金时应备注“</w:t>
      </w:r>
      <w:r>
        <w:rPr>
          <w:rFonts w:hint="eastAsia" w:ascii="方正仿宋_GBK" w:hAnsi="方正仿宋_GBK" w:eastAsia="方正仿宋_GBK" w:cs="方正仿宋_GBK"/>
          <w:sz w:val="24"/>
          <w:szCs w:val="24"/>
          <w:lang w:val="en-US" w:eastAsia="zh-CN"/>
        </w:rPr>
        <w:t>****</w:t>
      </w:r>
      <w:r>
        <w:rPr>
          <w:rFonts w:hint="eastAsia" w:ascii="方正仿宋_GBK" w:hAnsi="方正仿宋_GBK" w:eastAsia="方正仿宋_GBK" w:cs="方正仿宋_GBK"/>
          <w:sz w:val="24"/>
          <w:szCs w:val="24"/>
        </w:rPr>
        <w:t>投标保证金”。</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3.为了方便保证金的核查，请各供应商把开户许可证复印件及转账凭证原件带至采购现场备查。</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4. 保证金必须按竞争性谈判文件规定的时间和金额缴纳。</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（二）保证金退还方式</w:t>
      </w:r>
    </w:p>
    <w:p>
      <w:pPr>
        <w:shd w:val="clear" w:color="auto" w:fill="FFFFFF"/>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重庆市荣昌区人民医院自成交通知书发出之日起5个工作日内退还未成交供应商的保证金，自采购合同签订之日起5个工作日内退还成交供应商的保证金。</w:t>
      </w:r>
    </w:p>
    <w:p>
      <w:pPr>
        <w:snapToGrid w:val="0"/>
        <w:spacing w:line="440" w:lineRule="exact"/>
        <w:ind w:firstLine="480" w:firstLineChars="20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重庆市荣昌区人民医院财务科咨询电话：023- 46331793（出纳室）</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六、</w:t>
      </w:r>
      <w:bookmarkStart w:id="74" w:name="_Toc3128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采购项目需落实的政府采购政策</w:t>
      </w:r>
      <w:bookmarkEnd w:id="71"/>
      <w:bookmarkEnd w:id="7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46</w:t>
      </w:r>
      <w:r>
        <w:rPr>
          <w:rFonts w:hint="eastAsia" w:ascii="方正仿宋_GBK" w:hAnsi="方正仿宋_GBK" w:eastAsia="方正仿宋_GBK" w:cs="方正仿宋_GBK"/>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5" w:name="_Toc4346"/>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七、其它有关规定</w:t>
      </w:r>
      <w:bookmarkEnd w:id="72"/>
      <w:bookmarkEnd w:id="73"/>
      <w:bookmarkEnd w:id="75"/>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u w:val="none"/>
          <w:lang w:eastAsia="zh-CN"/>
          <w14:textFill>
            <w14:solidFill>
              <w14:schemeClr w14:val="tx1"/>
            </w14:solidFill>
          </w14:textFill>
        </w:rPr>
        <w:t>（一）</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本项目</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不</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接受联合体响应</w:t>
      </w:r>
      <w:r>
        <w:rPr>
          <w:rFonts w:hint="eastAsia" w:ascii="方正仿宋_GBK" w:hAnsi="方正仿宋_GBK" w:eastAsia="方正仿宋_GBK" w:cs="方正仿宋_GBK"/>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九）项目实施全过程中，安全问题由成交供应商单位自行负责。</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6" w:name="_Toc29029"/>
      <w:bookmarkStart w:id="77" w:name="_Toc7971"/>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八、现场踏勘</w:t>
      </w:r>
      <w:bookmarkEnd w:id="76"/>
      <w:bookmarkEnd w:id="7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本项目不组织集中踏勘现场，由供应商自行踏勘。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应对现场及周围环境进行踏勘，以充分了解工地位置、情况、道路、储存空间、装卸限制及地方材料等任何其他足以影响承包价的情况，任何因忽视或误解工地情况或出现对施工产生不利影响的情况而导致的索赔或工期延长申请将被拒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（三）</w:t>
      </w:r>
      <w:r>
        <w:rPr>
          <w:rFonts w:hint="eastAsia" w:ascii="方正仿宋_GBK" w:hAnsi="方正仿宋_GBK" w:eastAsia="方正仿宋_GBK" w:cs="方正仿宋_GBK"/>
          <w:color w:val="000000" w:themeColor="text1"/>
          <w:sz w:val="24"/>
          <w:szCs w:val="24"/>
          <w14:textFill>
            <w14:solidFill>
              <w14:schemeClr w14:val="tx1"/>
            </w14:solidFill>
          </w14:textFill>
        </w:rPr>
        <w:t>供应商承担现场踏勘的责任和风险。踏勘现场的费用由供应商自行承担，踏勘现场过程中的安全责任由供应商自行负责。</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8" w:name="_Toc24322"/>
      <w:bookmarkStart w:id="79" w:name="_Toc13165"/>
      <w:bookmarkStart w:id="80" w:name="_Toc1940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九、联系方式</w:t>
      </w:r>
      <w:bookmarkEnd w:id="78"/>
      <w:bookmarkEnd w:id="79"/>
      <w:bookmarkEnd w:id="80"/>
      <w:bookmarkStart w:id="81" w:name="_Toc102227313"/>
    </w:p>
    <w:p>
      <w:pPr>
        <w:spacing w:line="380" w:lineRule="exact"/>
        <w:ind w:firstLine="480" w:firstLineChars="200"/>
        <w:rPr>
          <w:rFonts w:hint="eastAsia" w:ascii="方正仿宋_GBK" w:hAnsi="方正仿宋_GBK" w:eastAsia="方正仿宋_GBK" w:cs="方正仿宋_GBK"/>
          <w:sz w:val="24"/>
          <w:szCs w:val="24"/>
        </w:rPr>
      </w:pPr>
      <w:bookmarkStart w:id="82" w:name="_Toc13310"/>
      <w:bookmarkStart w:id="83" w:name="_Toc32476"/>
      <w:r>
        <w:rPr>
          <w:rFonts w:hint="eastAsia" w:ascii="方正仿宋_GBK" w:hAnsi="方正仿宋_GBK" w:eastAsia="方正仿宋_GBK" w:cs="方正仿宋_GBK"/>
          <w:sz w:val="24"/>
          <w:szCs w:val="24"/>
        </w:rPr>
        <w:t>（一）监督机构：重庆市荣昌区人民医院纪检监察室</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 系 人：诸女士            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联系电话：023－46331880</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（二）采购人：重庆市荣昌区人民医院</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话：023-46331363</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  址：重庆市荣昌区广场北路3号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84" w:name="_Toc20290"/>
      <w:r>
        <w:rPr>
          <w:rFonts w:hint="eastAsia" w:ascii="方正仿宋_GBK" w:hAnsi="方正仿宋_GBK" w:eastAsia="方正仿宋_GBK" w:cs="方正仿宋_GBK"/>
          <w:b/>
          <w:color w:val="000000" w:themeColor="text1"/>
          <w:sz w:val="36"/>
          <w:szCs w:val="30"/>
          <w14:textFill>
            <w14:solidFill>
              <w14:schemeClr w14:val="tx1"/>
            </w14:solidFill>
          </w14:textFill>
        </w:rPr>
        <w:t>第二篇  供应商须知</w:t>
      </w:r>
      <w:bookmarkEnd w:id="81"/>
      <w:bookmarkEnd w:id="82"/>
      <w:bookmarkEnd w:id="83"/>
      <w:bookmarkEnd w:id="84"/>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5" w:name="_Toc19352"/>
      <w:bookmarkStart w:id="86" w:name="_Toc342913389"/>
      <w:bookmarkStart w:id="87" w:name="_Toc31596"/>
      <w:bookmarkStart w:id="88" w:name="_Toc4506"/>
      <w:r>
        <w:rPr>
          <w:rFonts w:hint="eastAsia" w:ascii="方正仿宋_GBK" w:hAnsi="方正仿宋_GBK" w:eastAsia="方正仿宋_GBK" w:cs="方正仿宋_GBK"/>
          <w:b/>
          <w:bCs w:val="0"/>
          <w:color w:val="000000" w:themeColor="text1"/>
          <w:sz w:val="24"/>
          <w:szCs w:val="24"/>
          <w14:textFill>
            <w14:solidFill>
              <w14:schemeClr w14:val="tx1"/>
            </w14:solidFill>
          </w14:textFill>
        </w:rPr>
        <w:t>一、谈判费用</w:t>
      </w:r>
      <w:bookmarkEnd w:id="85"/>
      <w:bookmarkEnd w:id="86"/>
      <w:bookmarkEnd w:id="87"/>
      <w:bookmarkEnd w:id="88"/>
    </w:p>
    <w:p>
      <w:pPr>
        <w:pStyle w:val="22"/>
        <w:pageBreakBefore w:val="0"/>
        <w:widowControl w:val="0"/>
        <w:kinsoku/>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9" w:name="_Toc16849"/>
      <w:bookmarkStart w:id="90" w:name="_Toc1034"/>
      <w:bookmarkStart w:id="91" w:name="_Toc20789"/>
      <w:bookmarkStart w:id="92" w:name="_Toc342913391"/>
      <w:r>
        <w:rPr>
          <w:rFonts w:hint="eastAsia" w:ascii="方正仿宋_GBK" w:hAnsi="方正仿宋_GBK" w:eastAsia="方正仿宋_GBK" w:cs="方正仿宋_GBK"/>
          <w:b/>
          <w:bCs w:val="0"/>
          <w:color w:val="000000" w:themeColor="text1"/>
          <w:sz w:val="24"/>
          <w:szCs w:val="24"/>
          <w14:textFill>
            <w14:solidFill>
              <w14:schemeClr w14:val="tx1"/>
            </w14:solidFill>
          </w14:textFill>
        </w:rPr>
        <w:t>二、竞争性谈判文件</w:t>
      </w:r>
      <w:bookmarkEnd w:id="89"/>
      <w:bookmarkEnd w:id="90"/>
      <w:bookmarkEnd w:id="91"/>
      <w:bookmarkEnd w:id="92"/>
      <w:r>
        <w:rPr>
          <w:rFonts w:hint="eastAsia" w:ascii="方正仿宋_GBK" w:hAnsi="方正仿宋_GBK" w:eastAsia="方正仿宋_GBK" w:cs="方正仿宋_GBK"/>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93" w:name="_Toc318159160"/>
      <w:bookmarkStart w:id="94" w:name="_Toc318159780"/>
      <w:bookmarkStart w:id="95" w:name="_Toc318159349"/>
      <w:bookmarkStart w:id="96" w:name="_Toc31816642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4、本竞争性谈判文件中，谈判小组根据与供应商谈判情况可能实质性变动的内容为竞争性谈判文件第三、四、五篇全部内容。</w:t>
      </w:r>
    </w:p>
    <w:bookmarkEnd w:id="93"/>
    <w:bookmarkEnd w:id="94"/>
    <w:bookmarkEnd w:id="95"/>
    <w:bookmarkEnd w:id="96"/>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97" w:name="_Toc28757"/>
      <w:bookmarkStart w:id="98" w:name="_Toc179714297"/>
      <w:bookmarkStart w:id="99" w:name="_Toc342913392"/>
      <w:bookmarkStart w:id="100" w:name="_Toc102227318"/>
      <w:bookmarkStart w:id="101" w:name="_Toc19752"/>
      <w:bookmarkStart w:id="102" w:name="_Toc21866"/>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三、谈判要求</w:t>
      </w:r>
      <w:bookmarkEnd w:id="97"/>
      <w:bookmarkEnd w:id="98"/>
      <w:bookmarkEnd w:id="99"/>
      <w:bookmarkEnd w:id="100"/>
      <w:bookmarkEnd w:id="101"/>
      <w:bookmarkEnd w:id="10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1.2.6联合体业绩计算，按照共同联合协议分工认定。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1.2.7以联合体形式参加谈判的，联合体各方均应提供：“参加政府采购活动前三年内，在经营活动中没有重大违法记录”的书面声明、信用中国网站（www.creditchina.gov.cn）“信用信息”（包括“失信被执行人”及“重大税收违法案件当事人名单”）及“政府行政许可与行政处罚”查询结果以及中国政府采购网（www.ccgp.gov.cn）“政府采购严重违法失信行为纪录名单”查询结果（上述两个网站查询结果网页打印件并加盖供应商公章）。查询时间为本项目采购公告发布之日起至递交响应文件截止时间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w:t>
      </w:r>
      <w:r>
        <w:rPr>
          <w:rFonts w:hint="eastAsia" w:ascii="方正仿宋_GBK" w:hAnsi="方正仿宋_GBK" w:eastAsia="方正仿宋_GBK" w:cs="方正仿宋_GBK"/>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报价要求：报价应包括完成谈判范围内工程项目的直接费、间接费、人工费、材料费、机械费、利润、安全文明施工费、税金、措施费（含技术措施费和组织措施费）、风险费、运输费、管理费、规费、保险费、检验试验费（含材料检验试验和特殊检验试验）、施工及生活用水电费、二次搬运费、多次转运费、高温补贴、原空调拆移费（采购人指定位置）、原室内外堆放物品搬运费以及政策文件规定的费用、应由供应商支付的其他费用以及本谈判文件明示由成交供应商自行承担的费用等所有费用，以及本谈判文件中的风险、责任、义务及相应的费用。采购人除此以外不支付其它费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.1响应文件一式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份，其中正本一份，副本</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份，电子文档一份（电子文档内容应与投标文件正本一致，推荐采用U盘为文件载体）；每套纸质文件须在封面清楚地标明“正本”、“副本”或“电子文档”，副本应为正本的完整复印件，副本与正本不一致时以正本为准。响应文件电子文档与纸质响应文件正本不一致时，以纸质响应文件正本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电子文档分别进行密封的，还应在封套上注明“正本”、“副本”、“电子文档”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、无效谈判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供应商发生以下条款情况之一者，视为无效谈判，其响应文件将被拒绝：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.1不符合规定的基本资格条件或特定资格条件；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.2法定代表人或其授权代表未参加谈判；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.3供应商未按照竞争性谈判文件的要求缴纳保证金；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.4响应文件不按规定签字、盖章；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.5最后报价超过采购预算；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.6供应商响应文件内容有与国家现行法律法规相违背的内容，或附有采购人无法接受的条件。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03" w:name="_Toc308029822"/>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.7除按照采购文件规定提交备选标的以外，供应商同时提交两份或者多份内容不同的响应文件，或者在同一份响应文件中对同一采购内容报有两个或者多个报价，</w:t>
      </w:r>
      <w:bookmarkEnd w:id="103"/>
      <w:bookmarkStart w:id="104" w:name="_Toc308029823"/>
      <w:r>
        <w:rPr>
          <w:rFonts w:hint="eastAsia" w:ascii="方正仿宋_GBK" w:hAnsi="方正仿宋_GBK" w:eastAsia="方正仿宋_GBK" w:cs="方正仿宋_GBK"/>
          <w:color w:val="000000" w:themeColor="text1"/>
          <w:sz w:val="24"/>
          <w:szCs w:val="24"/>
          <w14:textFill>
            <w14:solidFill>
              <w14:schemeClr w14:val="tx1"/>
            </w14:solidFill>
          </w14:textFill>
        </w:rPr>
        <w:t>并未声明以哪个报价为准的</w:t>
      </w:r>
      <w:bookmarkEnd w:id="104"/>
      <w:bookmarkStart w:id="105" w:name="_Toc30802982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.8供应商未按采购文件要求编制响应文件的</w:t>
      </w:r>
      <w:bookmarkEnd w:id="105"/>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06" w:name="_Toc308029826"/>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.9已标价工程量清单及组价文件汇总金额与竞争性报价函报价不一致的</w:t>
      </w:r>
      <w:bookmarkEnd w:id="106"/>
      <w:bookmarkStart w:id="107" w:name="_Toc308029827"/>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.10供应商谈判报价总报价或者清单报价中任何一项超过最高限价的</w:t>
      </w:r>
      <w:bookmarkEnd w:id="107"/>
      <w:r>
        <w:rPr>
          <w:rFonts w:hint="eastAsia" w:ascii="方正仿宋_GBK" w:hAnsi="方正仿宋_GBK" w:eastAsia="方正仿宋_GBK" w:cs="方正仿宋_GBK"/>
          <w:color w:val="000000" w:themeColor="text1"/>
          <w:sz w:val="24"/>
          <w:szCs w:val="24"/>
          <w14:textFill>
            <w14:solidFill>
              <w14:schemeClr w14:val="tx1"/>
            </w14:solidFill>
          </w14:textFill>
        </w:rPr>
        <w:t>。</w:t>
      </w:r>
      <w:bookmarkStart w:id="108" w:name="_Toc30802982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.11采购人的采购预算中如有暂定（暂列）金额而供应商在作响应预算时改变了采购人的暂定（暂列）金额作的响应预算的；或者供应商在作预算时更改了采购人的</w:t>
      </w:r>
      <w:bookmarkEnd w:id="108"/>
      <w:bookmarkStart w:id="109" w:name="_Toc308029829"/>
      <w:r>
        <w:rPr>
          <w:rFonts w:hint="eastAsia" w:ascii="方正仿宋_GBK" w:hAnsi="方正仿宋_GBK" w:eastAsia="方正仿宋_GBK" w:cs="方正仿宋_GBK"/>
          <w:color w:val="000000" w:themeColor="text1"/>
          <w:sz w:val="24"/>
          <w:szCs w:val="24"/>
          <w14:textFill>
            <w14:solidFill>
              <w14:schemeClr w14:val="tx1"/>
            </w14:solidFill>
          </w14:textFill>
        </w:rPr>
        <w:t>预算工程量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及预算表顺序</w:t>
      </w:r>
      <w:r>
        <w:rPr>
          <w:rFonts w:hint="eastAsia" w:ascii="方正仿宋_GBK" w:hAnsi="方正仿宋_GBK" w:eastAsia="方正仿宋_GBK" w:cs="方正仿宋_GBK"/>
          <w:color w:val="000000" w:themeColor="text1"/>
          <w:sz w:val="24"/>
          <w:szCs w:val="24"/>
          <w14:textFill>
            <w14:solidFill>
              <w14:schemeClr w14:val="tx1"/>
            </w14:solidFill>
          </w14:textFill>
        </w:rPr>
        <w:t>作响应预算的；或者更改了采购人的清单描述</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w:t>
      </w:r>
      <w:r>
        <w:rPr>
          <w:rFonts w:hint="eastAsia" w:ascii="方正仿宋_GBK" w:hAnsi="方正仿宋_GBK" w:eastAsia="方正仿宋_GBK" w:cs="方正仿宋_GBK"/>
          <w:color w:val="000000" w:themeColor="text1"/>
          <w:sz w:val="24"/>
          <w:szCs w:val="24"/>
          <w14:textFill>
            <w14:solidFill>
              <w14:schemeClr w14:val="tx1"/>
            </w14:solidFill>
          </w14:textFill>
        </w:rPr>
        <w:t>清单顺序的</w:t>
      </w:r>
      <w:bookmarkEnd w:id="109"/>
      <w:bookmarkStart w:id="110" w:name="_Toc308029830"/>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.12供应商报价明显低于预算市场价，而供应商又不能证明其合理性的</w:t>
      </w:r>
      <w:bookmarkEnd w:id="110"/>
      <w:bookmarkStart w:id="111" w:name="_Toc308029833"/>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.13响应工期超过采购文件规定的工期的</w:t>
      </w:r>
      <w:bookmarkEnd w:id="111"/>
      <w:bookmarkStart w:id="112" w:name="_Toc30802983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3" w:name="_Toc308029851"/>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响应文件未实质性响应采购文件的要求和条件属于重大偏差，凡经谈判小组认定有重大偏差的响应文件，该响应文件为无效响应文件，谈判小组认定为无效</w:t>
      </w:r>
      <w:bookmarkEnd w:id="113"/>
      <w:bookmarkStart w:id="114" w:name="_Toc308029852"/>
      <w:r>
        <w:rPr>
          <w:rFonts w:hint="eastAsia" w:ascii="方正仿宋_GBK" w:hAnsi="方正仿宋_GBK" w:eastAsia="方正仿宋_GBK" w:cs="方正仿宋_GBK"/>
          <w:color w:val="000000" w:themeColor="text1"/>
          <w:sz w:val="24"/>
          <w:szCs w:val="24"/>
          <w14:textFill>
            <w14:solidFill>
              <w14:schemeClr w14:val="tx1"/>
            </w14:solidFill>
          </w14:textFill>
        </w:rPr>
        <w:t>的响应文件的不再进行详细评审。</w:t>
      </w:r>
      <w:bookmarkEnd w:id="114"/>
    </w:p>
    <w:bookmarkEnd w:id="112"/>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5" w:name="_Toc308029837"/>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响应文件中法定代表人印章与验证的法定代表人姓名不一致的，或者</w:t>
      </w:r>
      <w:bookmarkEnd w:id="115"/>
      <w:bookmarkStart w:id="116" w:name="_Toc308029838"/>
      <w:r>
        <w:rPr>
          <w:rFonts w:hint="eastAsia" w:ascii="方正仿宋_GBK" w:hAnsi="方正仿宋_GBK" w:eastAsia="方正仿宋_GBK" w:cs="方正仿宋_GBK"/>
          <w:color w:val="000000" w:themeColor="text1"/>
          <w:sz w:val="24"/>
          <w:szCs w:val="24"/>
          <w14:textFill>
            <w14:solidFill>
              <w14:schemeClr w14:val="tx1"/>
            </w14:solidFill>
          </w14:textFill>
        </w:rPr>
        <w:t>供应商法定（委托）授权代表人没有合法、有效的委托（授权）书（原件）的</w:t>
      </w:r>
      <w:bookmarkEnd w:id="116"/>
      <w:bookmarkStart w:id="117" w:name="_Toc308029839"/>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谈判时供应商出具或应出具的各种证件不符合采购文件要求的</w:t>
      </w:r>
      <w:bookmarkEnd w:id="117"/>
      <w:bookmarkStart w:id="118" w:name="_Toc308029843"/>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采购文件中要求的响应文件的几个组成部分的任一部分被认定为无效的</w:t>
      </w:r>
      <w:bookmarkEnd w:id="118"/>
      <w:bookmarkStart w:id="119" w:name="_Toc30802984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响应文件附有采购人不能接受的条件的</w:t>
      </w:r>
      <w:bookmarkEnd w:id="119"/>
      <w:bookmarkStart w:id="120" w:name="_Toc308029845"/>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w:t>
      </w:r>
      <w:r>
        <w:rPr>
          <w:rFonts w:hint="eastAsia" w:ascii="方正仿宋_GBK" w:hAnsi="方正仿宋_GBK" w:eastAsia="方正仿宋_GBK" w:cs="方正仿宋_GBK"/>
          <w:color w:val="000000" w:themeColor="text1"/>
          <w:sz w:val="24"/>
          <w:szCs w:val="24"/>
          <w14:textFill>
            <w14:solidFill>
              <w14:schemeClr w14:val="tx1"/>
            </w14:solidFill>
          </w14:textFill>
        </w:rPr>
        <w:t>响应文件内容不全或字迹模糊辨认不清，影响评审、定标的</w:t>
      </w:r>
      <w:bookmarkEnd w:id="120"/>
      <w:bookmarkStart w:id="121" w:name="_Toc308029847"/>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4"/>
          <w:szCs w:val="24"/>
          <w14:textFill>
            <w14:solidFill>
              <w14:schemeClr w14:val="tx1"/>
            </w14:solidFill>
          </w14:textFill>
        </w:rPr>
        <w:t>评审过程中，采购人或谈判小组发现供应商以他人名义响应、串通响应、欺诈、威胁、以行贿手段或其他弄虚作假方式谋取成为成交供应商的、采取可能影响评审公正性的</w:t>
      </w:r>
      <w:bookmarkEnd w:id="121"/>
      <w:bookmarkStart w:id="122" w:name="_Toc308029848"/>
      <w:r>
        <w:rPr>
          <w:rFonts w:hint="eastAsia" w:ascii="方正仿宋_GBK" w:hAnsi="方正仿宋_GBK" w:eastAsia="方正仿宋_GBK" w:cs="方正仿宋_GBK"/>
          <w:color w:val="000000" w:themeColor="text1"/>
          <w:sz w:val="24"/>
          <w:szCs w:val="24"/>
          <w14:textFill>
            <w14:solidFill>
              <w14:schemeClr w14:val="tx1"/>
            </w14:solidFill>
          </w14:textFill>
        </w:rPr>
        <w:t>不正当手段的</w:t>
      </w:r>
      <w:bookmarkEnd w:id="122"/>
      <w:bookmarkStart w:id="123" w:name="_Toc308029849"/>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出现影响采购公正的违法、违规行为的</w:t>
      </w:r>
      <w:bookmarkEnd w:id="123"/>
      <w:bookmarkStart w:id="124" w:name="_Toc308029850"/>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法律法规和采购文件规定的其它无效响应情形</w:t>
      </w:r>
      <w:bookmarkEnd w:id="12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25" w:name="_Toc32225"/>
      <w:bookmarkStart w:id="126" w:name="_Toc342913393"/>
      <w:bookmarkStart w:id="127" w:name="_Toc102227319"/>
      <w:bookmarkStart w:id="128" w:name="_Toc179714298"/>
      <w:bookmarkStart w:id="129" w:name="_Toc14764"/>
      <w:bookmarkStart w:id="130" w:name="_Toc2528"/>
      <w:r>
        <w:rPr>
          <w:rFonts w:hint="eastAsia" w:ascii="方正仿宋_GBK" w:hAnsi="方正仿宋_GBK" w:eastAsia="方正仿宋_GBK" w:cs="方正仿宋_GBK"/>
          <w:b/>
          <w:bCs w:val="0"/>
          <w:color w:val="000000" w:themeColor="text1"/>
          <w:sz w:val="24"/>
          <w:szCs w:val="24"/>
          <w14:textFill>
            <w14:solidFill>
              <w14:schemeClr w14:val="tx1"/>
            </w14:solidFill>
          </w14:textFill>
        </w:rPr>
        <w:t>四、谈判程序</w:t>
      </w:r>
      <w:bookmarkEnd w:id="125"/>
      <w:bookmarkEnd w:id="126"/>
      <w:bookmarkEnd w:id="127"/>
      <w:bookmarkEnd w:id="128"/>
      <w:bookmarkEnd w:id="129"/>
      <w:bookmarkEnd w:id="130"/>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1、谈判按竞争性谈判文件规定的时间和地点进行。供应商须有法定代表人或其授权代表参加并签到。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2、竞争性谈判以抽签的形式确定谈判顺序，由本项目谈判小组分别与各供应商进行谈判。在正式谈判前，对各供应商的资格条件、响应文件的有效性、完整性和响应程度进行审查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将拒绝其参与政府采购活动。）</w:t>
      </w:r>
      <w:r>
        <w:rPr>
          <w:rFonts w:hint="eastAsia" w:ascii="方正仿宋_GBK" w:hAnsi="方正仿宋_GBK" w:eastAsia="方正仿宋_GBK" w:cs="方正仿宋_GBK"/>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4、谈判小组要求供应商澄清、说明或者更正响应文件应当以书面形式作出。供应商的澄清、说明或者更正应当由法定代表人或其授权代表签字或者加盖公章。由授权代表签字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在谈判过程中，谈判小组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7、供应商在谈判时作出的所有书面承诺须由法定代表人或其授权代表签字。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31" w:name="_Toc19577"/>
      <w:bookmarkStart w:id="132" w:name="_Toc28510"/>
      <w:bookmarkStart w:id="133" w:name="_Toc32054"/>
      <w:bookmarkStart w:id="134" w:name="_Toc102227320"/>
      <w:bookmarkStart w:id="135" w:name="_Toc342913394"/>
      <w:r>
        <w:rPr>
          <w:rFonts w:hint="eastAsia" w:ascii="方正仿宋_GBK" w:hAnsi="方正仿宋_GBK" w:eastAsia="方正仿宋_GBK" w:cs="方正仿宋_GBK"/>
          <w:b/>
          <w:bCs w:val="0"/>
          <w:color w:val="000000" w:themeColor="text1"/>
          <w:sz w:val="24"/>
          <w:szCs w:val="24"/>
          <w14:textFill>
            <w14:solidFill>
              <w14:schemeClr w14:val="tx1"/>
            </w14:solidFill>
          </w14:textFill>
        </w:rPr>
        <w:t>五、评审依据</w:t>
      </w:r>
      <w:bookmarkEnd w:id="131"/>
      <w:bookmarkEnd w:id="132"/>
      <w:bookmarkEnd w:id="133"/>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36" w:name="_Toc24263"/>
      <w:bookmarkStart w:id="137" w:name="_Toc23607"/>
      <w:bookmarkStart w:id="138" w:name="_Toc4521"/>
      <w:r>
        <w:rPr>
          <w:rFonts w:hint="eastAsia" w:ascii="方正仿宋_GBK" w:hAnsi="方正仿宋_GBK" w:eastAsia="方正仿宋_GBK" w:cs="方正仿宋_GBK"/>
          <w:b/>
          <w:bCs w:val="0"/>
          <w:color w:val="000000" w:themeColor="text1"/>
          <w:sz w:val="24"/>
          <w:szCs w:val="24"/>
          <w14:textFill>
            <w14:solidFill>
              <w14:schemeClr w14:val="tx1"/>
            </w14:solidFill>
          </w14:textFill>
        </w:rPr>
        <w:t>六、成交</w:t>
      </w:r>
      <w:bookmarkEnd w:id="134"/>
      <w:r>
        <w:rPr>
          <w:rFonts w:hint="eastAsia" w:ascii="方正仿宋_GBK" w:hAnsi="方正仿宋_GBK" w:eastAsia="方正仿宋_GBK" w:cs="方正仿宋_GBK"/>
          <w:b/>
          <w:bCs w:val="0"/>
          <w:color w:val="000000" w:themeColor="text1"/>
          <w:sz w:val="24"/>
          <w:szCs w:val="24"/>
          <w14:textFill>
            <w14:solidFill>
              <w14:schemeClr w14:val="tx1"/>
            </w14:solidFill>
          </w14:textFill>
        </w:rPr>
        <w:t>原则</w:t>
      </w:r>
      <w:bookmarkEnd w:id="135"/>
      <w:bookmarkEnd w:id="136"/>
      <w:bookmarkEnd w:id="137"/>
      <w:bookmarkEnd w:id="13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39" w:name="_Toc403569783"/>
      <w:bookmarkStart w:id="140" w:name="_Toc44682684"/>
      <w:bookmarkStart w:id="141" w:name="_Toc485108781"/>
      <w:bookmarkStart w:id="142" w:name="_Toc14277"/>
      <w:bookmarkStart w:id="143" w:name="_Toc7837"/>
      <w:r>
        <w:rPr>
          <w:rFonts w:hint="eastAsia" w:ascii="方正仿宋_GBK" w:hAnsi="方正仿宋_GBK" w:eastAsia="方正仿宋_GBK" w:cs="方正仿宋_GBK"/>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14:textFill>
            <w14:solidFill>
              <w14:schemeClr w14:val="tx1"/>
            </w14:solidFill>
          </w14:textFill>
        </w:rPr>
        <w:t>参加同一合同项下</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的，以其中通过资格审查、符合性审查且报价最低的参加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；报价相同的，由采购人或者采购人委托</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谈判小组</w:t>
      </w:r>
      <w:r>
        <w:rPr>
          <w:rFonts w:hint="eastAsia" w:ascii="方正仿宋_GBK" w:hAnsi="方正仿宋_GBK" w:eastAsia="方正仿宋_GBK" w:cs="方正仿宋_GBK"/>
          <w:color w:val="000000" w:themeColor="text1"/>
          <w:sz w:val="24"/>
          <w:szCs w:val="24"/>
          <w14:textFill>
            <w14:solidFill>
              <w14:schemeClr w14:val="tx1"/>
            </w14:solidFill>
          </w14:textFill>
        </w:rPr>
        <w:t>按照</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文件规定的方式确定一个参加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2.3.1.2</w:t>
      </w:r>
      <w:r>
        <w:rPr>
          <w:rFonts w:hint="eastAsia" w:ascii="方正仿宋_GBK" w:hAnsi="方正仿宋_GBK" w:eastAsia="方正仿宋_GBK" w:cs="方正仿宋_GBK"/>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2.3.2政策性扣减方式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2.3.2.1政策性扣减方式（对于经主管预算单位统筹后未预留份额专门面向中小企业采购的采购项目，以及预留份额项目中的非预留部分采购包）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2.3.2.2供应商为非联合体响应的制造商，对小型企业给予6%的扣除，微型企业给予8%的扣除（注册资金十五万及以下的微型企业给予10%的扣除），以扣除后的报价参与评审。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2.3.2.3供应商为非联合体响应的承建（承接）企业，对小型企业给予3%的扣除，微型企业给予4%的扣除（注册资金十五万及以下的微型企业给予5%的扣除），以扣除后的报价参与评审。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2.3.2.4供应商为联合体响应的，在联合协议或者分包意向协议约定小微企业的合同份额占到合同总金额 30%以上的，对联合体或者大中型企业的报价给予 2%-3%（工程项目为 1%—2%）的扣除，用扣除后的价格参加评审。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组成联合体或者接受分包的小微企业与联合体内其他企业、分包企业之间存在直接控</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股、管理关系的，不享受价格扣除优惠政策。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监狱企业、残疾人福利性单位属于微型企业的，应提供中小微企业声明函（详见第七篇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五</w:t>
      </w:r>
      <w:r>
        <w:rPr>
          <w:rFonts w:hint="eastAsia" w:ascii="方正仿宋_GBK" w:hAnsi="方正仿宋_GBK" w:eastAsia="方正仿宋_GBK" w:cs="方正仿宋_GBK"/>
          <w:color w:val="000000" w:themeColor="text1"/>
          <w:sz w:val="24"/>
          <w:szCs w:val="24"/>
          <w14:textFill>
            <w14:solidFill>
              <w14:schemeClr w14:val="tx1"/>
            </w14:solidFill>
          </w14:textFill>
        </w:rPr>
        <w:t>、其他“中小微企业声明函”）。未提供以上资料的监狱企业、残疾人福利性单位视同小型企业。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4.1谈判小组应当从质量和服务均能满足采购文件实质性响应要求的供应商中，按照最后报价由低到高的顺序提出3名以上成交候选人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4.2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4.3谈判小组将依照评审办法提出成交候选人。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七十四</w:t>
      </w:r>
      <w:r>
        <w:rPr>
          <w:rFonts w:hint="eastAsia" w:ascii="方正仿宋_GBK" w:hAnsi="方正仿宋_GBK" w:eastAsia="方正仿宋_GBK" w:cs="方正仿宋_GBK"/>
          <w:color w:val="000000" w:themeColor="text1"/>
          <w:sz w:val="24"/>
          <w:szCs w:val="24"/>
          <w14:textFill>
            <w14:solidFill>
              <w14:schemeClr w14:val="tx1"/>
            </w14:solidFill>
          </w14:textFill>
        </w:rPr>
        <w:t>号令第</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五十四</w:t>
      </w:r>
      <w:r>
        <w:rPr>
          <w:rFonts w:hint="eastAsia" w:ascii="方正仿宋_GBK" w:hAnsi="方正仿宋_GBK" w:eastAsia="方正仿宋_GBK" w:cs="方正仿宋_GBK"/>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44" w:name="_Toc27501"/>
      <w:r>
        <w:rPr>
          <w:rFonts w:hint="eastAsia" w:ascii="方正仿宋_GBK" w:hAnsi="方正仿宋_GBK" w:eastAsia="方正仿宋_GBK" w:cs="方正仿宋_GBK"/>
          <w:b/>
          <w:bCs w:val="0"/>
          <w:color w:val="000000" w:themeColor="text1"/>
          <w:sz w:val="24"/>
          <w:szCs w:val="24"/>
          <w14:textFill>
            <w14:solidFill>
              <w14:schemeClr w14:val="tx1"/>
            </w14:solidFill>
          </w14:textFill>
        </w:rPr>
        <w:t>七、成交通知</w:t>
      </w:r>
      <w:bookmarkEnd w:id="139"/>
      <w:bookmarkEnd w:id="140"/>
      <w:bookmarkEnd w:id="141"/>
      <w:bookmarkEnd w:id="14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成交供应商确定后2个工作日内，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采购代理机构将</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上发布成交结果公告。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结果公告发出同时，</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14:textFill>
            <w14:solidFill>
              <w14:schemeClr w14:val="tx1"/>
            </w14:solidFill>
          </w14:textFill>
        </w:rPr>
        <w:t>将以书面形式发出《成交通知书》。《成交通知书》一经发出即发生法律效力。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（三）</w:t>
      </w:r>
      <w:r>
        <w:rPr>
          <w:rFonts w:hint="eastAsia" w:ascii="方正仿宋_GBK" w:hAnsi="方正仿宋_GBK" w:eastAsia="方正仿宋_GBK" w:cs="方正仿宋_GBK"/>
          <w:color w:val="000000" w:themeColor="text1"/>
          <w:sz w:val="24"/>
          <w:szCs w:val="24"/>
          <w14:textFill>
            <w14:solidFill>
              <w14:schemeClr w14:val="tx1"/>
            </w14:solidFill>
          </w14:textFill>
        </w:rPr>
        <w:t>《成交通知书》将作为签订合同的依据。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如有供应商对成交结果提出质疑的，在质疑处理完毕后发出成交通知书。</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45" w:name="_Toc485108782"/>
      <w:bookmarkStart w:id="146" w:name="_Toc44682685"/>
      <w:bookmarkStart w:id="147" w:name="_Toc403569784"/>
      <w:bookmarkStart w:id="148" w:name="_Toc20411"/>
      <w:r>
        <w:rPr>
          <w:rFonts w:hint="eastAsia" w:ascii="方正仿宋_GBK" w:hAnsi="方正仿宋_GBK" w:eastAsia="方正仿宋_GBK" w:cs="方正仿宋_GBK"/>
          <w:b/>
          <w:bCs w:val="0"/>
          <w:color w:val="000000" w:themeColor="text1"/>
          <w:sz w:val="24"/>
          <w:szCs w:val="24"/>
          <w14:textFill>
            <w14:solidFill>
              <w14:schemeClr w14:val="tx1"/>
            </w14:solidFill>
          </w14:textFill>
        </w:rPr>
        <w:t>八、关于质疑和投诉</w:t>
      </w:r>
      <w:bookmarkEnd w:id="145"/>
      <w:bookmarkEnd w:id="146"/>
      <w:bookmarkEnd w:id="147"/>
      <w:bookmarkEnd w:id="14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重庆市荣昌区人民医院纪律检查委员会</w:t>
      </w:r>
      <w:r>
        <w:rPr>
          <w:rFonts w:hint="eastAsia" w:ascii="方正仿宋_GBK" w:hAnsi="方正仿宋_GBK" w:eastAsia="方正仿宋_GBK" w:cs="方正仿宋_GBK"/>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49" w:name="_Toc485108783"/>
      <w:bookmarkStart w:id="150" w:name="_Toc17733"/>
      <w:bookmarkStart w:id="151" w:name="_Toc44682686"/>
      <w:r>
        <w:rPr>
          <w:rFonts w:hint="eastAsia" w:ascii="方正仿宋_GBK" w:hAnsi="方正仿宋_GBK" w:eastAsia="方正仿宋_GBK" w:cs="方正仿宋_GBK"/>
          <w:b/>
          <w:color w:val="000000" w:themeColor="text1"/>
          <w:sz w:val="24"/>
          <w:szCs w:val="24"/>
          <w14:textFill>
            <w14:solidFill>
              <w14:schemeClr w14:val="tx1"/>
            </w14:solidFill>
          </w14:textFill>
        </w:rPr>
        <w:t>九、签订合同</w:t>
      </w:r>
      <w:bookmarkEnd w:id="149"/>
      <w:bookmarkEnd w:id="150"/>
      <w:bookmarkEnd w:id="15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52" w:name="_Toc17453"/>
      <w:bookmarkStart w:id="153" w:name="_Toc44682687"/>
      <w:bookmarkStart w:id="154" w:name="_Toc31161"/>
      <w:r>
        <w:rPr>
          <w:rFonts w:hint="eastAsia" w:ascii="方正仿宋_GBK" w:hAnsi="方正仿宋_GBK" w:eastAsia="方正仿宋_GBK" w:cs="方正仿宋_GBK"/>
          <w:b/>
          <w:color w:val="000000" w:themeColor="text1"/>
          <w:sz w:val="24"/>
          <w:szCs w:val="24"/>
          <w14:textFill>
            <w14:solidFill>
              <w14:schemeClr w14:val="tx1"/>
            </w14:solidFill>
          </w14:textFill>
        </w:rPr>
        <w:t>十、政府采购信用融资</w:t>
      </w:r>
      <w:bookmarkEnd w:id="152"/>
      <w:bookmarkEnd w:id="153"/>
      <w:bookmarkEnd w:id="15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55" w:name="_Toc26581"/>
      <w:r>
        <w:rPr>
          <w:rFonts w:hint="eastAsia" w:ascii="方正仿宋_GBK" w:hAnsi="方正仿宋_GBK" w:eastAsia="方正仿宋_GBK" w:cs="方正仿宋_GBK"/>
          <w:b/>
          <w:color w:val="000000" w:themeColor="text1"/>
          <w:sz w:val="36"/>
          <w:szCs w:val="30"/>
          <w14:textFill>
            <w14:solidFill>
              <w14:schemeClr w14:val="tx1"/>
            </w14:solidFill>
          </w14:textFill>
        </w:rPr>
        <w:t>第三篇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技术</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42"/>
      <w:bookmarkEnd w:id="143"/>
      <w:bookmarkEnd w:id="155"/>
    </w:p>
    <w:p>
      <w:pPr>
        <w:spacing w:line="400" w:lineRule="exact"/>
        <w:ind w:left="480"/>
        <w:rPr>
          <w:rFonts w:hint="eastAsia" w:ascii="方正仿宋_GBK" w:hAnsi="方正仿宋_GBK" w:eastAsia="方正仿宋_GBK" w:cs="方正仿宋_GBK"/>
          <w:b/>
          <w:sz w:val="24"/>
          <w:szCs w:val="24"/>
        </w:rPr>
      </w:pPr>
      <w:bookmarkStart w:id="156" w:name="_Toc12789058"/>
      <w:bookmarkStart w:id="157" w:name="_Toc31743"/>
      <w:r>
        <w:rPr>
          <w:rFonts w:hint="eastAsia" w:ascii="方正仿宋_GBK" w:hAnsi="方正仿宋_GBK" w:eastAsia="方正仿宋_GBK" w:cs="方正仿宋_GBK"/>
          <w:b/>
          <w:sz w:val="24"/>
          <w:szCs w:val="24"/>
        </w:rPr>
        <w:t>一、该项目范围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本工程为重庆市荣昌区人民医院儿科门诊装修改造工程，</w:t>
      </w:r>
      <w:bookmarkStart w:id="158" w:name="_Toc313536013"/>
      <w:bookmarkStart w:id="159" w:name="_Toc8742"/>
      <w:bookmarkStart w:id="160" w:name="_Toc344475116"/>
      <w:r>
        <w:rPr>
          <w:rFonts w:hint="eastAsia" w:ascii="方正仿宋_GBK" w:hAnsi="方正仿宋_GBK" w:eastAsia="方正仿宋_GBK" w:cs="方正仿宋_GBK"/>
          <w:sz w:val="24"/>
          <w:szCs w:val="24"/>
          <w:lang w:val="en-US" w:eastAsia="zh-CN"/>
        </w:rPr>
        <w:t>面积约40㎡，包括两间诊室，一个等候区，项目包括地面地胶铺设、外墙干挂石材、内墙面乳胶漆、石膏板吊顶、顶面石材造型、定制门窗、给排水管道安装、卫生洁具安装，照明管线安装、空调及灯具安装等。</w:t>
      </w:r>
    </w:p>
    <w:p>
      <w:pPr>
        <w:spacing w:line="400" w:lineRule="exact"/>
        <w:ind w:left="48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lang w:val="en-US" w:eastAsia="zh-CN"/>
        </w:rPr>
        <w:t>二</w:t>
      </w:r>
      <w:r>
        <w:rPr>
          <w:rFonts w:hint="eastAsia" w:ascii="方正仿宋_GBK" w:hAnsi="方正仿宋_GBK" w:eastAsia="方正仿宋_GBK" w:cs="方正仿宋_GBK"/>
          <w:b/>
          <w:sz w:val="24"/>
          <w:szCs w:val="24"/>
        </w:rPr>
        <w:t>、装修要求(相当或不低于)</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1.乳胶漆：快速净味，防潮，易擦洗，执行质量标准为国家标准GB18582-2008《室内装饰装修材料内墙涂料中有害物质限量》</w:t>
      </w:r>
      <w:r>
        <w:rPr>
          <w:rFonts w:hint="eastAsia" w:ascii="方正仿宋_GBK" w:hAnsi="方正仿宋_GBK" w:eastAsia="方正仿宋_GBK" w:cs="方正仿宋_GBK"/>
          <w:sz w:val="24"/>
          <w:szCs w:val="24"/>
          <w:lang w:val="en-US" w:eastAsia="zh-CN"/>
        </w:rPr>
        <w:t>及以上</w:t>
      </w:r>
      <w:r>
        <w:rPr>
          <w:rFonts w:hint="eastAsia" w:ascii="方正仿宋_GBK" w:hAnsi="方正仿宋_GBK" w:eastAsia="方正仿宋_GBK" w:cs="方正仿宋_GBK"/>
          <w:sz w:val="24"/>
          <w:szCs w:val="24"/>
        </w:rPr>
        <w:t>，响应文件中需提供该材质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出具的检测报告</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2.天棚吊顶：石膏板厚度≥9mm，石膏板吊顶基底除个别特殊造型外，主要采用轻钢吊顶龙骨，石膏板吊顶所用龙骨、吊杆、连接件必须符合产品组合要求。安装位置、造型尺寸必须准确。龙骨构架排列整齐顺直表面必须平整。龙骨架构各接点必须牢固，拼缝严密无松动，安全可靠。罩面板的材质、品种、规格、及吊顶造型的基层构造、固定方法，必须符合设计要求和国家现行有关标准规定。纸面石膏板接缝均匀、顺直、位于龙骨上，自攻钉间距符合有关标准规定</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3.空调：一拖四多联空调，制冷量≥12000，制冷功率≥2800W，制热量≥14000，制热功率≥2800W，外机噪音高风档≤50dB(A)，除湿量≥4.38；</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地胶：</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4.1、≥2mm厚无方向花纹同质透心PVC地胶，花纹颗粒贯穿地板,剖面无气孔。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4.2、耐磨等级：T级</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4.3、表面有涂层保护，涂层厚度达到20μm以上，提供检测报告。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4.4、耐污染及耐化学试剂，检测方法：EN ISO 26987:2012,提供抗≥70种试剂的检测报告,达到0级（无影响）标准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4.5、TVOC有害物质排放小于5微克/立方米</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4.6、满足REACH法则，不含209项高关注有害物质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4.7、增塑剂使用环保的DONP，对苯二甲酸二辛酯类增塑剂，并提供检测报告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4.8、单位平米重量≤2820g/㎡</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4.9、防火B1,防滑R9</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4.10、卷宽2米，卷长20米，总厚度2.0MM，残余凹陷≤0.02mm、尺寸稳定性：&lt;0.4%、色牢度≥7</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4.11、颜色和表面花纹详见样品。</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4.12、必须符合国家环保的相关要求</w:t>
      </w:r>
    </w:p>
    <w:tbl>
      <w:tblPr>
        <w:tblStyle w:val="18"/>
        <w:tblW w:w="89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27"/>
        <w:gridCol w:w="3402"/>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技术参数</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PVC塑胶地板要求</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测试标准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地板材质</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无方向性同质透心PVC卷材，原厂原牌（不接受贴牌产品）</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单位重量</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≤2820g/㎡</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地板总厚度(毫米)</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2.0mm</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残留凹陷度</w:t>
            </w:r>
          </w:p>
        </w:tc>
        <w:tc>
          <w:tcPr>
            <w:tcW w:w="3402"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≈0.02mm</w:t>
            </w:r>
          </w:p>
        </w:tc>
        <w:tc>
          <w:tcPr>
            <w:tcW w:w="2768" w:type="dxa"/>
            <w:tcBorders>
              <w:top w:val="single" w:color="000000" w:sz="8" w:space="0"/>
              <w:left w:val="single" w:color="000000" w:sz="8" w:space="0"/>
              <w:bottom w:val="single" w:color="000000" w:sz="8" w:space="0"/>
              <w:right w:val="single" w:color="000000" w:sz="8" w:space="0"/>
            </w:tcBorders>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宽幅(米)</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≥2.0m</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防火等级</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B1级</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GB8624-2012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耐磨等级</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T级</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欧洲玩具安全标准</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不含19项重金属</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EN71-3:2013+A1:2014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防湿滑测试</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R9</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DIN51130-2014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地板表面处理</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免打蜡处理</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PUR/Evercare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抗化学性能</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良好</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827"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28天后TVOC排放量</w:t>
            </w:r>
          </w:p>
        </w:tc>
        <w:tc>
          <w:tcPr>
            <w:tcW w:w="3402"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5ug/m³</w:t>
            </w:r>
          </w:p>
        </w:tc>
        <w:tc>
          <w:tcPr>
            <w:tcW w:w="2768" w:type="dxa"/>
            <w:tcBorders>
              <w:top w:val="single" w:color="000000" w:sz="8" w:space="0"/>
              <w:left w:val="single" w:color="000000" w:sz="8" w:space="0"/>
              <w:bottom w:val="single" w:color="000000" w:sz="8" w:space="0"/>
              <w:right w:val="single" w:color="000000" w:sz="8" w:space="0"/>
            </w:tcBorders>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ISO16000-6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抗菌性能</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sv-SE" w:eastAsia="zh-CN"/>
              </w:rPr>
            </w:pPr>
            <w:r>
              <w:rPr>
                <w:rFonts w:hint="eastAsia" w:ascii="方正仿宋_GBK" w:hAnsi="方正仿宋_GBK" w:eastAsia="方正仿宋_GBK" w:cs="方正仿宋_GBK"/>
                <w:sz w:val="24"/>
                <w:szCs w:val="24"/>
                <w:lang w:val="sv-SE" w:eastAsia="zh-CN"/>
              </w:rPr>
              <w:t>无细菌滋生</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sv-SE" w:eastAsia="zh-CN"/>
              </w:rPr>
            </w:pPr>
            <w:r>
              <w:rPr>
                <w:rFonts w:hint="eastAsia" w:ascii="方正仿宋_GBK" w:hAnsi="方正仿宋_GBK" w:eastAsia="方正仿宋_GBK" w:cs="方正仿宋_GBK"/>
                <w:sz w:val="24"/>
                <w:szCs w:val="24"/>
                <w:lang w:val="sv-SE" w:eastAsia="zh-CN"/>
              </w:rPr>
              <w:t xml:space="preserve">     QB/T 2591-2003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地板可选择颜色</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≥35</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投标产品样卡</w:t>
            </w:r>
          </w:p>
        </w:tc>
      </w:tr>
    </w:tbl>
    <w:p>
      <w:pPr>
        <w:spacing w:line="400" w:lineRule="exact"/>
        <w:rPr>
          <w:rFonts w:hint="eastAsia" w:ascii="方正仿宋_GBK" w:hAnsi="方正仿宋_GBK" w:eastAsia="方正仿宋_GBK" w:cs="方正仿宋_GBK"/>
          <w:sz w:val="24"/>
          <w:szCs w:val="24"/>
          <w:lang w:val="en-US" w:eastAsia="zh-CN"/>
        </w:rPr>
      </w:pP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4.13、PVC地胶铺装要求：</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使用含水率测试仪检测基层的含水率，基层的含水率应小于4%。基层的强度不低于混凝土强度C25的要求，用硬度测试仪检测基层的表面硬度不低于1.2Mpa。基层平整度应在2米直尺范围内高低落差小于5毫米，如直接铺设PVC地板而不进行自流平找平的基层地面平整度高低落差应小于2毫米。使用小钢锤敲击基层表面检查是否有空鼓；目视基层表面是否有裂缝。</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电线：国标塑铜</w:t>
      </w:r>
      <w:r>
        <w:rPr>
          <w:rFonts w:hint="eastAsia" w:ascii="方正仿宋_GBK" w:hAnsi="方正仿宋_GBK" w:eastAsia="方正仿宋_GBK" w:cs="方正仿宋_GBK"/>
          <w:sz w:val="24"/>
          <w:szCs w:val="24"/>
          <w:lang w:val="en-US" w:eastAsia="zh-CN"/>
        </w:rPr>
        <w:t>阻燃</w:t>
      </w:r>
      <w:r>
        <w:rPr>
          <w:rFonts w:hint="eastAsia" w:ascii="方正仿宋_GBK" w:hAnsi="方正仿宋_GBK" w:eastAsia="方正仿宋_GBK" w:cs="方正仿宋_GBK"/>
          <w:sz w:val="24"/>
          <w:szCs w:val="24"/>
        </w:rPr>
        <w:t>电线，符合</w:t>
      </w:r>
      <w:r>
        <w:rPr>
          <w:rFonts w:hint="eastAsia" w:ascii="方正仿宋_GBK" w:hAnsi="方正仿宋_GBK" w:eastAsia="方正仿宋_GBK" w:cs="方正仿宋_GBK"/>
          <w:sz w:val="24"/>
          <w:szCs w:val="24"/>
          <w:lang w:val="en-US" w:eastAsia="zh-CN"/>
        </w:rPr>
        <w:t>GA306.1-2007及以上</w:t>
      </w:r>
      <w:r>
        <w:rPr>
          <w:rFonts w:hint="eastAsia" w:ascii="方正仿宋_GBK" w:hAnsi="方正仿宋_GBK" w:eastAsia="方正仿宋_GBK" w:cs="方正仿宋_GBK"/>
          <w:sz w:val="24"/>
          <w:szCs w:val="24"/>
        </w:rPr>
        <w:t>标准，响应文件中需提供该材质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w:t>
      </w:r>
      <w:r>
        <w:rPr>
          <w:rFonts w:hint="eastAsia" w:ascii="方正仿宋_GBK" w:hAnsi="方正仿宋_GBK" w:eastAsia="方正仿宋_GBK" w:cs="方正仿宋_GBK"/>
          <w:sz w:val="24"/>
          <w:szCs w:val="24"/>
          <w:lang w:val="en-US" w:eastAsia="zh-CN"/>
        </w:rPr>
        <w:t>报告。</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金碧辉煌干挂石材：厚度≥20mm，同―批板材的色调应基本调和.花纹应基本一致，不允许有超过10mm的裂缝及缺棱、缺角、色斑、砂眼，材质符合《建筑材料放射性核素限量》GB6566-2001、《天然大理石建筑板材》GB/T19766-2005及以上国家标准，</w:t>
      </w:r>
      <w:r>
        <w:rPr>
          <w:rFonts w:hint="eastAsia" w:ascii="方正仿宋_GBK" w:hAnsi="方正仿宋_GBK" w:eastAsia="方正仿宋_GBK" w:cs="方正仿宋_GBK"/>
          <w:sz w:val="24"/>
          <w:szCs w:val="24"/>
        </w:rPr>
        <w:t>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w:t>
      </w:r>
      <w:r>
        <w:rPr>
          <w:rFonts w:hint="eastAsia" w:ascii="方正仿宋_GBK" w:hAnsi="方正仿宋_GBK" w:eastAsia="方正仿宋_GBK" w:cs="方正仿宋_GBK"/>
          <w:sz w:val="24"/>
          <w:szCs w:val="24"/>
          <w:lang w:val="en-US" w:eastAsia="zh-CN"/>
        </w:rPr>
        <w:t>报告。</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干挂石材钢骨架：热镀锌钢管，100*100mm，厚度≥2mm；</w:t>
      </w:r>
    </w:p>
    <w:p>
      <w:pPr>
        <w:numPr>
          <w:ilvl w:val="0"/>
          <w:numId w:val="0"/>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本项目所含技术参数，施工工艺，材料选材等严格按照国家、地方法律法规、相关验收标准执行。施工过程中，严格按照设计要求施工，不得擅改设计意。主要材料进场之前必须通知采购人或采购人代表验收，并提供合格证书和检验报告。</w:t>
      </w:r>
    </w:p>
    <w:p>
      <w:pPr>
        <w:spacing w:line="400" w:lineRule="exact"/>
        <w:ind w:firstLine="482" w:firstLineChars="200"/>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三、工程质量标准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供应商必须按照工程设计要求、施工技术标准和合同约定，对建筑材料、建筑构配件、设备和商品混凝土进行检验，检验应当有书面记录和专人签字；未经检验或者检验不合格的，不得使用。供应商在施工中发现设计文件和图纸有差错的，应当及时提出意见和建议。</w:t>
      </w:r>
    </w:p>
    <w:bookmarkEnd w:id="158"/>
    <w:bookmarkEnd w:id="159"/>
    <w:bookmarkEnd w:id="160"/>
    <w:p>
      <w:pPr>
        <w:spacing w:line="400" w:lineRule="exact"/>
        <w:ind w:firstLine="482"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lang w:val="en-US" w:eastAsia="zh-CN"/>
        </w:rPr>
        <w:t>四、计价原则、结算原则及变更估价原则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（一）计价原则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1、本项目清单执行《建设工程量清单计价规范》（GB50500-2013）、《重庆市建设工程工程量计算规则》（CQJLGZ-2013）及《重庆市建设工程工程量清单计价规则》（CQJJGZ-2013）；定额执行《重庆市房屋建筑与装饰工程计价定额》（CQJZZSDE-2018）、《重庆市通用安装工程计价定额》（CQTYAZDE-2018）、《重庆市建设工程费用定额》（CQFYDE-2018）及其相关配套文件。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2、税金按营改增后执行，本工程按纳税地点在区县、镇执行；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3、材料价格：材料单价的确定参照2021年第5期荣昌区《重庆工程造价信息》价格进行调整，《重庆工程造价信息》中缺项部分按同品种材料中等水平市场询价计算。</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4、人工费：人工工日单价的确定参照2021年第4期荣昌区《重庆工程造价信息》的价格进行调整；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5、安全文明施工专项费用按渝建发[2014]25号文及[2016]35号文执行。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6、其他费用按照重庆市城乡建设委员会关于印发《重庆市建设工程安全文明施工措施费用计取和使用管理规定》的通知（渝建发[2014]25号）及[2016]35号文、重庆市城乡建设委员会关于印发《关于调整建设工程竣工档案编制费计取标准与计算方法的通知》（渝建发[2014]26号）、重庆市城乡建设委员会关于印发《关于调整企业管理费和组织措施费内容及费用标准的通知》（渝建发[2014]27号）计取相关费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7、建渣清运</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建渣日产日清，</w:t>
      </w:r>
      <w:r>
        <w:rPr>
          <w:rFonts w:hint="eastAsia" w:ascii="方正仿宋_GBK" w:hAnsi="方正仿宋_GBK" w:eastAsia="方正仿宋_GBK" w:cs="方正仿宋_GBK"/>
          <w:sz w:val="24"/>
          <w:szCs w:val="24"/>
        </w:rPr>
        <w:t>外运超过预算的费用由供应商自费, 由供应商自解决渣场；</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8、本项目质量检测按照渝建〔2015〕420号文件执行，供应商提供合格的检测报告；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9、采购人在工程量清单中所列出的清单编码、项目名称、项目特征及主要工程内容、计量单位、工程量、暂列及暂定金额、暂估价、清单填报顺序等供应商不得修改。</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10、本工程费用均应包括为实施和完成该工程所需的人工费、材料费、设备费、机械费、企业管理费、利润及一定范围内的风险费用、措施费（包含安全文明施工费）、规费、税金等政策性文件规定的所有费用。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11、本项目所需材料由供应商按照施工图设计和竞争性谈判要求采购，所选材料的产品质量均不得低于本项目的设计要求，人工及材料价格各供应商根据自身企业实力自主报价；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12、其他费用按照重庆市建设委员会和荣昌区相关部门的有关规定计取。工程量现场实际收方的工程量为准。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（二）结算原则：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结算总价=中标价±设计变更、技术洽商、现场签证结算价±工程量计算偏差调整±专业及材料暂估价据实调整±中标价安全文明施工费据实调整±合同约定的其他因素。</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1、具体结算办法如下：</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1）工程量清单报价中有相同子项的，按该子项的中标综合单价执行；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2）工程量清单报价中有类似子项的，参照竞标报价中类似子项的中标综合单价执行（类似子项由采购人审定）；</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工程量清单报价中无相同子项或类似子项的，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4）因成交供应商原因引起的工程量增加，不予计量、计价。</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2、工程量计算偏差包括工程量清单少量、多量、漏项、多项，其中少量、多量在±5%（含5%）以内不予调整。</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3、专业工程暂估价和材料的暂定价格由采购人认质认价办理结算。</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4、本项目结算最终以相关单位审定的金额为准。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（三） 变更估价的原则：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属于设计变更的项目，则由成交供应商按照定额执行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2、其中的人工、材料价格按施工期间的《重庆工程造价信息》公布的荣昌地区指导价均价执行，未有的材料价格以采购人、采购人代表单位、政府监督部门核质核价执行。</w:t>
      </w:r>
    </w:p>
    <w:p>
      <w:pPr>
        <w:pStyle w:val="8"/>
        <w:rPr>
          <w:rFonts w:hint="eastAsia" w:ascii="方正仿宋_GBK" w:hAnsi="方正仿宋_GBK" w:eastAsia="方正仿宋_GBK" w:cs="方正仿宋_GBK"/>
          <w:color w:val="000000" w:themeColor="text1"/>
          <w:lang w:eastAsia="zh-CN"/>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61" w:name="_Toc29942"/>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62" w:name="_Toc30429"/>
      <w:r>
        <w:rPr>
          <w:rFonts w:hint="eastAsia" w:ascii="方正仿宋_GBK" w:hAnsi="方正仿宋_GBK" w:eastAsia="方正仿宋_GBK" w:cs="方正仿宋_GBK"/>
          <w:b/>
          <w:color w:val="000000" w:themeColor="text1"/>
          <w:sz w:val="36"/>
          <w:szCs w:val="30"/>
          <w14:textFill>
            <w14:solidFill>
              <w14:schemeClr w14:val="tx1"/>
            </w14:solidFill>
          </w14:textFill>
        </w:rPr>
        <w:t>第四篇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商务</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56"/>
      <w:bookmarkEnd w:id="157"/>
      <w:bookmarkEnd w:id="161"/>
      <w:bookmarkEnd w:id="162"/>
    </w:p>
    <w:p>
      <w:pPr>
        <w:spacing w:line="400" w:lineRule="exact"/>
        <w:ind w:firstLine="482" w:firstLineChars="200"/>
        <w:rPr>
          <w:rFonts w:hint="eastAsia" w:ascii="方正仿宋_GBK" w:hAnsi="方正仿宋_GBK" w:eastAsia="方正仿宋_GBK" w:cs="方正仿宋_GBK"/>
          <w:b/>
          <w:sz w:val="24"/>
          <w:szCs w:val="24"/>
        </w:rPr>
      </w:pPr>
      <w:bookmarkStart w:id="163" w:name="_Toc13358"/>
      <w:bookmarkStart w:id="164" w:name="_Toc344475120"/>
      <w:bookmarkStart w:id="165" w:name="_Toc44682703"/>
      <w:bookmarkStart w:id="166" w:name="_Toc32306"/>
      <w:bookmarkStart w:id="167" w:name="_Toc44682704"/>
      <w:bookmarkStart w:id="168" w:name="_Toc342913419"/>
      <w:bookmarkStart w:id="169" w:name="_Toc283382454"/>
      <w:bookmarkStart w:id="170" w:name="_Toc313008356"/>
      <w:bookmarkStart w:id="171" w:name="_Toc313888360"/>
      <w:bookmarkStart w:id="172" w:name="_Toc12789073"/>
      <w:bookmarkStart w:id="173" w:name="_Toc457487724"/>
      <w:bookmarkStart w:id="174" w:name="_Toc429584885"/>
      <w:r>
        <w:rPr>
          <w:rFonts w:hint="eastAsia" w:ascii="方正仿宋_GBK" w:hAnsi="方正仿宋_GBK" w:eastAsia="方正仿宋_GBK" w:cs="方正仿宋_GBK"/>
          <w:b/>
          <w:sz w:val="24"/>
          <w:szCs w:val="24"/>
        </w:rPr>
        <w:t>一、</w:t>
      </w:r>
      <w:r>
        <w:rPr>
          <w:rFonts w:hint="eastAsia" w:ascii="方正仿宋_GBK" w:hAnsi="方正仿宋_GBK" w:eastAsia="方正仿宋_GBK" w:cs="方正仿宋_GBK"/>
          <w:b/>
          <w:sz w:val="24"/>
          <w:szCs w:val="24"/>
          <w:lang w:val="en-US" w:eastAsia="zh-CN"/>
        </w:rPr>
        <w:t>报价说明、</w:t>
      </w:r>
      <w:r>
        <w:rPr>
          <w:rFonts w:hint="eastAsia" w:ascii="方正仿宋_GBK" w:hAnsi="方正仿宋_GBK" w:eastAsia="方正仿宋_GBK" w:cs="方正仿宋_GBK"/>
          <w:b/>
          <w:sz w:val="24"/>
          <w:szCs w:val="24"/>
        </w:rPr>
        <w:t>工期要求、实施地点、质量要求及验收方式</w:t>
      </w:r>
      <w:bookmarkEnd w:id="163"/>
      <w:bookmarkEnd w:id="164"/>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（一）</w:t>
      </w:r>
      <w:r>
        <w:rPr>
          <w:rFonts w:hint="eastAsia" w:ascii="方正仿宋_GBK" w:hAnsi="方正仿宋_GBK" w:eastAsia="方正仿宋_GBK" w:cs="方正仿宋_GBK"/>
          <w:sz w:val="24"/>
          <w:szCs w:val="24"/>
          <w:lang w:val="en-US" w:eastAsia="zh-CN"/>
        </w:rPr>
        <w:t>报价说明</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报价应包括完成谈判范围内工程项目的直接费、间接费、人工费、材料费、机械费、利润、安全文明施工费、税金、措施费（含技术措施费和组织措施费）、风险费、运输费、管理费、规费、保险费、检验试验费（含材料检验试验和特殊检验试验）、施工及生活用水电费、二次搬运费、多次转运费、高温补贴、原室内外堆放物品搬运费以及政策文件规定的费用、应由供应商支付的其他费用以及本谈判文件明示由成交供应商自行承担的费用等所有费用，以及本谈判文件中的风险、责任、义务及相应的费用。采购人除此以外不支付其它费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二</w:t>
      </w:r>
      <w:r>
        <w:rPr>
          <w:rFonts w:hint="eastAsia" w:ascii="方正仿宋_GBK" w:hAnsi="方正仿宋_GBK" w:eastAsia="方正仿宋_GBK" w:cs="方正仿宋_GBK"/>
          <w:sz w:val="24"/>
          <w:szCs w:val="24"/>
        </w:rPr>
        <w:t>）工期要求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合同签订后</w:t>
      </w:r>
      <w:r>
        <w:rPr>
          <w:rFonts w:hint="eastAsia" w:ascii="方正仿宋_GBK" w:hAnsi="方正仿宋_GBK" w:eastAsia="方正仿宋_GBK" w:cs="方正仿宋_GBK"/>
          <w:sz w:val="24"/>
          <w:szCs w:val="24"/>
          <w:lang w:val="en-US" w:eastAsia="zh-CN"/>
        </w:rPr>
        <w:t>40</w:t>
      </w:r>
      <w:r>
        <w:rPr>
          <w:rFonts w:hint="eastAsia" w:ascii="方正仿宋_GBK" w:hAnsi="方正仿宋_GBK" w:eastAsia="方正仿宋_GBK" w:cs="方正仿宋_GBK"/>
          <w:sz w:val="24"/>
          <w:szCs w:val="24"/>
        </w:rPr>
        <w:t>日历日实施完成整体工程。</w:t>
      </w:r>
      <w:r>
        <w:rPr>
          <w:rFonts w:hint="eastAsia" w:ascii="方正仿宋_GBK" w:hAnsi="方正仿宋_GBK" w:eastAsia="方正仿宋_GBK" w:cs="方正仿宋_GBK"/>
          <w:sz w:val="24"/>
          <w:szCs w:val="24"/>
          <w:lang w:val="en-US" w:eastAsia="zh-CN"/>
        </w:rPr>
        <w:t>供应商</w:t>
      </w:r>
      <w:r>
        <w:rPr>
          <w:rFonts w:hint="eastAsia" w:ascii="方正仿宋_GBK" w:hAnsi="方正仿宋_GBK" w:eastAsia="方正仿宋_GBK" w:cs="方正仿宋_GBK"/>
          <w:sz w:val="24"/>
          <w:szCs w:val="24"/>
        </w:rPr>
        <w:t>必须按时完成，不得延期。</w:t>
      </w:r>
      <w:r>
        <w:rPr>
          <w:rFonts w:hint="eastAsia" w:ascii="方正仿宋_GBK" w:hAnsi="方正仿宋_GBK" w:eastAsia="方正仿宋_GBK" w:cs="方正仿宋_GBK"/>
          <w:sz w:val="24"/>
          <w:szCs w:val="24"/>
          <w:lang w:val="en-US" w:eastAsia="zh-CN"/>
        </w:rPr>
        <w:t>为保证本工程如期完工，供应商有必要须自行组织夜间施工，不另算夜间施工措施费，</w:t>
      </w:r>
      <w:r>
        <w:rPr>
          <w:rFonts w:hint="eastAsia" w:ascii="方正仿宋_GBK" w:hAnsi="方正仿宋_GBK" w:eastAsia="方正仿宋_GBK" w:cs="方正仿宋_GBK"/>
          <w:sz w:val="24"/>
          <w:szCs w:val="24"/>
        </w:rPr>
        <w:t>若延期交工，每超过一天，视为违约，扣履约保证金</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rPr>
        <w:t>00元/天，但不超过合同总额的10%。合同总工期已计入晴、阴、雨、雪、雾、风、洪水、台风、停电、停水等影响施工的时间。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由供应商自身原因造成的工程延期</w:t>
      </w:r>
      <w:r>
        <w:rPr>
          <w:rFonts w:hint="eastAsia" w:ascii="方正仿宋_GBK" w:hAnsi="方正仿宋_GBK" w:eastAsia="方正仿宋_GBK" w:cs="方正仿宋_GBK"/>
          <w:sz w:val="24"/>
          <w:szCs w:val="24"/>
          <w:lang w:val="en-US" w:eastAsia="zh-CN"/>
        </w:rPr>
        <w:t>超过90个自然日</w:t>
      </w:r>
      <w:r>
        <w:rPr>
          <w:rFonts w:hint="eastAsia" w:ascii="方正仿宋_GBK" w:hAnsi="方正仿宋_GBK" w:eastAsia="方正仿宋_GBK" w:cs="方正仿宋_GBK"/>
          <w:sz w:val="24"/>
          <w:szCs w:val="24"/>
        </w:rPr>
        <w:t>违约，采购人有权终止合同，造成的一切损失由供应商自行负责。</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三</w:t>
      </w:r>
      <w:r>
        <w:rPr>
          <w:rFonts w:hint="eastAsia" w:ascii="方正仿宋_GBK" w:hAnsi="方正仿宋_GBK" w:eastAsia="方正仿宋_GBK" w:cs="方正仿宋_GBK"/>
          <w:sz w:val="24"/>
          <w:szCs w:val="24"/>
        </w:rPr>
        <w:t>）实施地点</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实施地点：重庆市荣昌区</w:t>
      </w:r>
      <w:r>
        <w:rPr>
          <w:rFonts w:hint="eastAsia" w:ascii="方正仿宋_GBK" w:hAnsi="方正仿宋_GBK" w:eastAsia="方正仿宋_GBK" w:cs="方正仿宋_GBK"/>
          <w:sz w:val="24"/>
          <w:szCs w:val="24"/>
          <w:lang w:eastAsia="zh-CN"/>
        </w:rPr>
        <w:t>人民医院</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四</w:t>
      </w:r>
      <w:r>
        <w:rPr>
          <w:rFonts w:hint="eastAsia" w:ascii="方正仿宋_GBK" w:hAnsi="方正仿宋_GBK" w:eastAsia="方正仿宋_GBK" w:cs="方正仿宋_GBK"/>
          <w:sz w:val="24"/>
          <w:szCs w:val="24"/>
        </w:rPr>
        <w:t>）竣工验收方式</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r>
        <w:rPr>
          <w:rFonts w:hint="eastAsia" w:ascii="方正仿宋_GBK" w:hAnsi="方正仿宋_GBK" w:eastAsia="方正仿宋_GBK" w:cs="方正仿宋_GBK"/>
          <w:sz w:val="24"/>
          <w:szCs w:val="24"/>
          <w:lang w:val="en-US" w:eastAsia="zh-CN"/>
        </w:rPr>
        <w:t>采购人代表</w:t>
      </w:r>
      <w:r>
        <w:rPr>
          <w:rFonts w:hint="eastAsia" w:ascii="方正仿宋_GBK" w:hAnsi="方正仿宋_GBK" w:eastAsia="方正仿宋_GBK" w:cs="方正仿宋_GBK"/>
          <w:sz w:val="24"/>
          <w:szCs w:val="24"/>
        </w:rPr>
        <w:t>和成交供应商在工程建设中，按照有关规范和上级有关要求进行验收，并执行以下规定：</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经过审查的设计图纸、设计变更、图纸会审纪要和相关设计图集；</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1)《民用建筑设计统―标准</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GB50352-2019</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建筑内部装修设计防火规范</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GB50222-2017</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民用建筑工程室内环境污染控制规范》GB50325-2010</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4)《建筑地面设计规范》GB50037-2013</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5)《综合医院建筑设计规范》GB 51039-2014</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6)《建筑涂饰工程施工及验收规程》JGJ/ T29-2015</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7)《建筑外墙饰面涂饰翻新技术规程》DBJ50-063-2007</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8)《民用建筑修缮工程施工标准》JGJ/ T112-2019</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9)《建筑工程施工质量验收统一标准》GB50300-2013</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10)《建筑装饰装修工程质量验收规范》CB50210-2001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11</w:t>
      </w:r>
      <w:r>
        <w:rPr>
          <w:rFonts w:hint="eastAsia" w:ascii="方正仿宋_GBK" w:hAnsi="方正仿宋_GBK" w:eastAsia="方正仿宋_GBK" w:cs="方正仿宋_GBK"/>
          <w:sz w:val="24"/>
          <w:szCs w:val="24"/>
        </w:rPr>
        <w:t>）其它相关规范及资料</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2、采购人、</w:t>
      </w:r>
      <w:r>
        <w:rPr>
          <w:rFonts w:hint="eastAsia" w:ascii="方正仿宋_GBK" w:hAnsi="方正仿宋_GBK" w:eastAsia="方正仿宋_GBK" w:cs="方正仿宋_GBK"/>
          <w:sz w:val="24"/>
          <w:szCs w:val="24"/>
          <w:lang w:val="en-US" w:eastAsia="zh-CN"/>
        </w:rPr>
        <w:t>采购人代表</w:t>
      </w:r>
      <w:r>
        <w:rPr>
          <w:rFonts w:hint="eastAsia" w:ascii="方正仿宋_GBK" w:hAnsi="方正仿宋_GBK" w:eastAsia="方正仿宋_GBK" w:cs="方正仿宋_GBK"/>
          <w:sz w:val="24"/>
          <w:szCs w:val="24"/>
        </w:rPr>
        <w:t>和成交供应商在工程建设中，应执行重庆市建筑工程相关地方标准。</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3、供应商提供的货物、工程或服务未达到竞争性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规定要求，且对采购人造成损失的，由供应商承担一切责任，并赔偿所造成的损失。</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4、大型或者复杂的政府采购项目，采购人可邀请国家认可的质量检测机构参加验收工作。</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5、如经验收不合格，不能交付使用，不能视为竣工。承包人无条件返工直至合格为止，此产生的一切费用由承包人承担。</w:t>
      </w:r>
    </w:p>
    <w:p>
      <w:pPr>
        <w:spacing w:line="400" w:lineRule="exact"/>
        <w:ind w:firstLine="482" w:firstLineChars="200"/>
        <w:rPr>
          <w:rFonts w:hint="eastAsia" w:ascii="方正仿宋_GBK" w:hAnsi="方正仿宋_GBK" w:eastAsia="方正仿宋_GBK" w:cs="方正仿宋_GBK"/>
          <w:b/>
          <w:bCs/>
          <w:sz w:val="24"/>
          <w:szCs w:val="24"/>
          <w:lang w:val="en-US" w:eastAsia="zh-CN"/>
        </w:rPr>
      </w:pPr>
      <w:bookmarkStart w:id="175" w:name="_Toc344475121"/>
      <w:bookmarkStart w:id="176" w:name="_Toc3551"/>
      <w:r>
        <w:rPr>
          <w:rFonts w:hint="eastAsia" w:ascii="方正仿宋_GBK" w:hAnsi="方正仿宋_GBK" w:eastAsia="方正仿宋_GBK" w:cs="方正仿宋_GBK"/>
          <w:b/>
          <w:bCs/>
          <w:sz w:val="24"/>
          <w:szCs w:val="24"/>
        </w:rPr>
        <w:t>二、</w:t>
      </w:r>
      <w:bookmarkEnd w:id="175"/>
      <w:bookmarkEnd w:id="176"/>
      <w:r>
        <w:rPr>
          <w:rFonts w:hint="eastAsia" w:ascii="方正仿宋_GBK" w:hAnsi="方正仿宋_GBK" w:eastAsia="方正仿宋_GBK" w:cs="方正仿宋_GBK"/>
          <w:b/>
          <w:bCs/>
          <w:sz w:val="24"/>
          <w:szCs w:val="24"/>
          <w:lang w:val="en-US" w:eastAsia="zh-CN"/>
        </w:rPr>
        <w:t>质保要求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1、基础设施工程、房屋建筑的地基基础工程和主体结构工程，为设计文件规定的该工程的合理使用年限。</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（1）屋面防水工程、有防水要求的卫生间、房间和外墙面的防渗漏为５年；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（2）供热与供冷系统，为２个采暖期、供冷期；</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（3）电气管线、给排水管道、设备安装和装修工程，为２年</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（4）其他工程的保修期均为2年；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建设工程的保修期，自竣工验收合格之日起计算。</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2、整体工程达到国家现行施工质量验收规范要求，经竣工验收达到合格标准。</w:t>
      </w:r>
    </w:p>
    <w:p>
      <w:pPr>
        <w:spacing w:line="400" w:lineRule="exact"/>
        <w:ind w:firstLine="482" w:firstLineChars="200"/>
        <w:rPr>
          <w:rFonts w:hint="eastAsia" w:ascii="方正仿宋_GBK" w:hAnsi="方正仿宋_GBK" w:eastAsia="方正仿宋_GBK" w:cs="方正仿宋_GBK"/>
          <w:b/>
          <w:bCs/>
          <w:sz w:val="24"/>
          <w:szCs w:val="24"/>
        </w:rPr>
      </w:pPr>
      <w:bookmarkStart w:id="177" w:name="_Toc344475122"/>
      <w:bookmarkStart w:id="178" w:name="_Toc16318"/>
      <w:r>
        <w:rPr>
          <w:rFonts w:hint="eastAsia" w:ascii="方正仿宋_GBK" w:hAnsi="方正仿宋_GBK" w:eastAsia="方正仿宋_GBK" w:cs="方正仿宋_GBK"/>
          <w:b/>
          <w:bCs/>
          <w:sz w:val="24"/>
          <w:szCs w:val="24"/>
        </w:rPr>
        <w:t>三、付款方式</w:t>
      </w:r>
      <w:bookmarkEnd w:id="177"/>
      <w:bookmarkEnd w:id="178"/>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（一）付款方式：转账支付</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（二）支付方式：工程竣工验收合格</w:t>
      </w:r>
      <w:r>
        <w:rPr>
          <w:rFonts w:hint="eastAsia" w:ascii="方正仿宋_GBK" w:hAnsi="方正仿宋_GBK" w:eastAsia="方正仿宋_GBK" w:cs="方正仿宋_GBK"/>
          <w:sz w:val="24"/>
          <w:szCs w:val="24"/>
          <w:lang w:val="en-US" w:eastAsia="zh-CN"/>
        </w:rPr>
        <w:t>付至合同金额的60%，</w:t>
      </w:r>
      <w:r>
        <w:rPr>
          <w:rFonts w:hint="eastAsia" w:ascii="方正仿宋_GBK" w:hAnsi="方正仿宋_GBK" w:eastAsia="方正仿宋_GBK" w:cs="方正仿宋_GBK"/>
          <w:sz w:val="24"/>
          <w:szCs w:val="24"/>
        </w:rPr>
        <w:t>审计结束后付至审定金额的97%，3%工程质量保证金在工程质保期满后</w:t>
      </w:r>
      <w:r>
        <w:rPr>
          <w:rFonts w:hint="eastAsia" w:ascii="方正仿宋_GBK" w:hAnsi="方正仿宋_GBK" w:eastAsia="方正仿宋_GBK" w:cs="方正仿宋_GBK"/>
          <w:sz w:val="24"/>
          <w:szCs w:val="24"/>
          <w:lang w:val="en-US" w:eastAsia="zh-CN"/>
        </w:rPr>
        <w:t>15</w:t>
      </w:r>
      <w:r>
        <w:rPr>
          <w:rFonts w:hint="eastAsia" w:ascii="方正仿宋_GBK" w:hAnsi="方正仿宋_GBK" w:eastAsia="方正仿宋_GBK" w:cs="方正仿宋_GBK"/>
          <w:sz w:val="24"/>
          <w:szCs w:val="24"/>
        </w:rPr>
        <w:t>个工作日内一次性无息退还。</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（三）履约保证金：在签订合同前，成交供应商应向采购单位缴纳合同价的10%作为履约保证金。履约保证金在成交供应商履约完毕后</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rPr>
        <w:t>5日内无息退还其履约保证金。</w:t>
      </w:r>
    </w:p>
    <w:p>
      <w:pPr>
        <w:spacing w:line="400" w:lineRule="exact"/>
        <w:ind w:firstLine="480" w:firstLineChars="200"/>
        <w:rPr>
          <w:rFonts w:hint="eastAsia" w:ascii="方正仿宋_GBK" w:hAnsi="方正仿宋_GBK" w:eastAsia="方正仿宋_GBK" w:cs="方正仿宋_GBK"/>
          <w:sz w:val="24"/>
          <w:szCs w:val="24"/>
        </w:rPr>
      </w:pPr>
      <w:bookmarkStart w:id="179" w:name="_Toc344475123"/>
      <w:bookmarkStart w:id="180" w:name="_Toc28990"/>
      <w:r>
        <w:rPr>
          <w:rFonts w:hint="eastAsia" w:ascii="方正仿宋_GBK" w:hAnsi="方正仿宋_GBK" w:eastAsia="方正仿宋_GBK" w:cs="方正仿宋_GBK"/>
          <w:sz w:val="24"/>
          <w:szCs w:val="24"/>
        </w:rPr>
        <w:t>四、</w:t>
      </w:r>
      <w:bookmarkEnd w:id="179"/>
      <w:bookmarkStart w:id="181" w:name="_Toc344475125"/>
      <w:r>
        <w:rPr>
          <w:rFonts w:hint="eastAsia" w:ascii="方正仿宋_GBK" w:hAnsi="方正仿宋_GBK" w:eastAsia="方正仿宋_GBK" w:cs="方正仿宋_GBK"/>
          <w:sz w:val="24"/>
          <w:szCs w:val="24"/>
        </w:rPr>
        <w:t>其他</w:t>
      </w:r>
      <w:bookmarkEnd w:id="180"/>
    </w:p>
    <w:bookmarkEnd w:id="181"/>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（一）相关说明</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设计施工图中未明确的地方，依据工程量清单及竞争性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进行工程量清单和工程预算书编制。</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（二）项目实施期的安全问题由成交供应商负责。</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（三）供应商必须在响应文件中对以上条款和服务承诺明确列出，承诺内容必须达到本篇及竞争性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其他条款的要求。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（四）其他未尽事宜由供需双方在采购合同中详细约定。</w:t>
      </w:r>
    </w:p>
    <w:bookmarkEnd w:id="165"/>
    <w:bookmarkEnd w:id="166"/>
    <w:p>
      <w:pPr>
        <w:pStyle w:val="5"/>
        <w:spacing w:before="0" w:after="0" w:line="360" w:lineRule="auto"/>
        <w:jc w:val="center"/>
        <w:rPr>
          <w:rFonts w:hint="eastAsia" w:ascii="方正仿宋_GBK" w:hAnsi="方正仿宋_GBK" w:eastAsia="方正仿宋_GBK" w:cs="方正仿宋_GBK"/>
          <w:b w:val="0"/>
          <w:color w:val="000000" w:themeColor="text1"/>
          <w:sz w:val="36"/>
          <w:szCs w:val="30"/>
          <w14:textFill>
            <w14:solidFill>
              <w14:schemeClr w14:val="tx1"/>
            </w14:solidFill>
          </w14:textFill>
        </w:rPr>
      </w:pPr>
    </w:p>
    <w:p>
      <w:pPr>
        <w:rPr>
          <w:rFonts w:hint="eastAsia" w:ascii="方正仿宋_GBK" w:hAnsi="方正仿宋_GBK" w:eastAsia="方正仿宋_GBK" w:cs="方正仿宋_GBK"/>
          <w:b w:val="0"/>
          <w:color w:val="000000" w:themeColor="text1"/>
          <w:sz w:val="36"/>
          <w:szCs w:val="30"/>
          <w14:textFill>
            <w14:solidFill>
              <w14:schemeClr w14:val="tx1"/>
            </w14:solidFill>
          </w14:textFill>
        </w:rPr>
      </w:pPr>
    </w:p>
    <w:p>
      <w:pPr>
        <w:rPr>
          <w:rFonts w:hint="eastAsia" w:ascii="方正仿宋_GBK" w:hAnsi="方正仿宋_GBK" w:eastAsia="方正仿宋_GBK" w:cs="方正仿宋_GBK"/>
          <w:color w:val="000000" w:themeColor="text1"/>
          <w14:textFill>
            <w14:solidFill>
              <w14:schemeClr w14:val="tx1"/>
            </w14:solidFill>
          </w14:textFill>
        </w:rPr>
      </w:pPr>
    </w:p>
    <w:p>
      <w:pPr>
        <w:pStyle w:val="3"/>
        <w:rPr>
          <w:rFonts w:hint="eastAsia" w:ascii="方正仿宋_GBK" w:hAnsi="方正仿宋_GBK" w:eastAsia="方正仿宋_GBK" w:cs="方正仿宋_GBK"/>
          <w:color w:val="000000" w:themeColor="text1"/>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2" w:name="_Toc6949"/>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t>第</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五</w:t>
      </w:r>
      <w:r>
        <w:rPr>
          <w:rFonts w:hint="eastAsia" w:ascii="方正仿宋_GBK" w:hAnsi="方正仿宋_GBK" w:eastAsia="方正仿宋_GBK" w:cs="方正仿宋_GBK"/>
          <w:b/>
          <w:color w:val="000000" w:themeColor="text1"/>
          <w:sz w:val="36"/>
          <w:szCs w:val="30"/>
          <w14:textFill>
            <w14:solidFill>
              <w14:schemeClr w14:val="tx1"/>
            </w14:solidFill>
          </w14:textFill>
        </w:rPr>
        <w:t>篇  合同主要条款和格式合同</w:t>
      </w:r>
      <w:bookmarkEnd w:id="167"/>
      <w:bookmarkEnd w:id="182"/>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lang w:val="en-US" w:eastAsia="zh-CN"/>
          <w14:textFill>
            <w14:solidFill>
              <w14:schemeClr w14:val="tx1"/>
            </w14:solidFill>
          </w14:textFill>
        </w:rPr>
      </w:pPr>
      <w:bookmarkStart w:id="183" w:name="_Hlk528928440"/>
    </w:p>
    <w:p>
      <w:pPr>
        <w:kinsoku/>
        <w:wordWrap/>
        <w:overflowPunct/>
        <w:topLinePunct w:val="0"/>
        <w:bidi w:val="0"/>
        <w:spacing w:line="360" w:lineRule="auto"/>
        <w:textAlignment w:val="auto"/>
        <w:rPr>
          <w:rFonts w:hint="eastAsia" w:ascii="方正仿宋_GBK" w:hAnsi="方正仿宋_GBK" w:eastAsia="方正仿宋_GBK" w:cs="方正仿宋_GBK"/>
          <w:b/>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b/>
          <w:color w:val="000000" w:themeColor="text1"/>
          <w:sz w:val="24"/>
          <w:szCs w:val="24"/>
          <w14:textFill>
            <w14:solidFill>
              <w14:schemeClr w14:val="tx1"/>
            </w14:solidFill>
          </w14:textFill>
        </w:rPr>
        <w:t>发包人（全称）：</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重庆市荣昌区人民医院</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
          <w:color w:val="000000" w:themeColor="text1"/>
          <w:sz w:val="24"/>
          <w:szCs w:val="24"/>
          <w14:textFill>
            <w14:solidFill>
              <w14:schemeClr w14:val="tx1"/>
            </w14:solidFill>
          </w14:textFill>
        </w:rPr>
        <w:t xml:space="preserve">                        </w:t>
      </w:r>
    </w:p>
    <w:p>
      <w:pPr>
        <w:kinsoku/>
        <w:wordWrap/>
        <w:overflowPunct/>
        <w:topLinePunct w:val="0"/>
        <w:bidi w:val="0"/>
        <w:spacing w:line="360" w:lineRule="auto"/>
        <w:textAlignment w:val="auto"/>
        <w:rPr>
          <w:rFonts w:hint="eastAsia" w:ascii="方正仿宋_GBK" w:hAnsi="方正仿宋_GBK" w:eastAsia="方正仿宋_GBK" w:cs="方正仿宋_GBK"/>
          <w:b/>
          <w:color w:val="000000" w:themeColor="text1"/>
          <w:sz w:val="24"/>
          <w:szCs w:val="24"/>
          <w:u w:val="single"/>
          <w:lang w:val="en-US"/>
          <w14:textFill>
            <w14:solidFill>
              <w14:schemeClr w14:val="tx1"/>
            </w14:solidFill>
          </w14:textFill>
        </w:rPr>
      </w:pPr>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
          <w:color w:val="000000" w:themeColor="text1"/>
          <w:sz w:val="24"/>
          <w:szCs w:val="24"/>
          <w14:textFill>
            <w14:solidFill>
              <w14:schemeClr w14:val="tx1"/>
            </w14:solidFill>
          </w14:textFill>
        </w:rPr>
        <w:t>（全称）：</w:t>
      </w:r>
      <w:r>
        <w:rPr>
          <w:rFonts w:hint="eastAsia" w:ascii="方正仿宋_GBK" w:hAnsi="方正仿宋_GBK" w:eastAsia="方正仿宋_GBK" w:cs="方正仿宋_GBK"/>
          <w:b/>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根据《中华人民共和国民法典》、《中华人民共和国建筑法》及有关法律规定，遵循平等、自愿、公平和诚实信用的原则，双方就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施工及有关事项协商一致，共同达成如下协议：</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一、工程概况</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1.工程名称：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2.工程地点</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3.工程立项批准文号</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4.资金来源</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自筹资金</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5.工程内容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：包括内装修等。</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6.工程范围：</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荣昌区人民医院儿科门诊装修改造工程，面积40㎡。该项目内容包括:内装修等。</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二、合同工期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计划开工日期：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年</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月</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日（具体开工时间</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以</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工程开工令</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为准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计划竣工日期：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月</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日（竣工日期</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以</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竣工报告时间</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为准。）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工期总日历天数：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日历天</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合同总工期已计入晴、阴、雨、雪、雾、风、洪水、台风、停电、停水等影响施工的时间。</w:t>
      </w:r>
    </w:p>
    <w:p>
      <w:pPr>
        <w:keepNext w:val="0"/>
        <w:keepLines w:val="0"/>
        <w:pageBreakBefore w:val="0"/>
        <w:widowControl w:val="0"/>
        <w:kinsoku/>
        <w:wordWrap/>
        <w:overflowPunct/>
        <w:topLinePunct w:val="0"/>
        <w:bidi w:val="0"/>
        <w:spacing w:line="46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三、质量标准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pP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1</w:t>
      </w:r>
      <w:r>
        <w:rPr>
          <w:rFonts w:hint="eastAsia" w:ascii="方正仿宋_GBK" w:hAnsi="方正仿宋_GBK" w:eastAsia="方正仿宋_GBK" w:cs="方正仿宋_GBK"/>
          <w:i w:val="0"/>
          <w:iCs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pP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2</w:t>
      </w:r>
      <w:r>
        <w:rPr>
          <w:rFonts w:hint="eastAsia" w:ascii="方正仿宋_GBK" w:hAnsi="方正仿宋_GBK" w:eastAsia="方正仿宋_GBK" w:cs="方正仿宋_GBK"/>
          <w:i w:val="0"/>
          <w:iCs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供应商必须按照工程设计要求、施工技术标准和合同约定，对建筑材料、建筑构配件、设备和商品混凝土进行检验，检验应当有书面记录和专人签字；未经检验或者检验不合格的，不得使用。供应商在施工中发现设计文件和图纸有差错的，应当及时提出意见和建议。</w:t>
      </w:r>
    </w:p>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val="en-US" w:eastAsia="zh-CN"/>
          <w14:textFill>
            <w14:solidFill>
              <w14:schemeClr w14:val="tx1"/>
            </w14:solidFill>
          </w14:textFill>
        </w:rPr>
        <w:t>3.</w:t>
      </w:r>
      <w:r>
        <w:rPr>
          <w:rFonts w:hint="eastAsia" w:ascii="方正仿宋_GBK" w:hAnsi="方正仿宋_GBK" w:eastAsia="方正仿宋_GBK" w:cs="方正仿宋_GBK"/>
          <w:color w:val="000000" w:themeColor="text1"/>
          <w14:textFill>
            <w14:solidFill>
              <w14:schemeClr w14:val="tx1"/>
            </w14:solidFill>
          </w14:textFill>
        </w:rPr>
        <w:t>整体工程达到国家现行施工质量验收规范要求，经竣工验收达到合格标准。</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四、签约合同价与合同价格形式</w:t>
      </w:r>
      <w:r>
        <w:rPr>
          <w:rFonts w:hint="eastAsia" w:ascii="方正仿宋_GBK" w:hAnsi="方正仿宋_GBK" w:eastAsia="方正仿宋_GBK" w:cs="方正仿宋_GBK"/>
          <w:b/>
          <w:bCs/>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1.签约合同价为：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元</w:t>
      </w:r>
      <w:r>
        <w:rPr>
          <w:rFonts w:hint="eastAsia" w:ascii="方正仿宋_GBK" w:hAnsi="方正仿宋_GBK" w:eastAsia="方正仿宋_GBK" w:cs="方正仿宋_GBK"/>
          <w:color w:val="000000" w:themeColor="text1"/>
          <w:sz w:val="24"/>
          <w:szCs w:val="24"/>
          <w14:textFill>
            <w14:solidFill>
              <w14:schemeClr w14:val="tx1"/>
            </w14:solidFill>
          </w14:textFill>
        </w:rPr>
        <w:t>人民币（大写：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元)</w:t>
      </w:r>
      <w:r>
        <w:rPr>
          <w:rFonts w:hint="eastAsia" w:ascii="方正仿宋_GBK" w:hAnsi="方正仿宋_GBK" w:eastAsia="方正仿宋_GBK" w:cs="方正仿宋_GBK"/>
          <w:color w:val="000000" w:themeColor="text1"/>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合同价格形式：</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单价合同</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五、项目经理</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项目经理：</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执业资格证号：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联系电话：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b/>
          <w:bCs/>
          <w:color w:val="000000" w:themeColor="text1"/>
          <w:sz w:val="24"/>
          <w:szCs w:val="24"/>
          <w14:textFill>
            <w14:solidFill>
              <w14:schemeClr w14:val="tx1"/>
            </w14:solidFill>
          </w14:textFill>
        </w:rPr>
        <w:t>六、合同文件构成</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本协议书与下列文件一起构成合同文件：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（1）专用合同条款及其附件；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）通用合同条款；</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）相关方安全环境实施细则；</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）技术标准和要求；</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）图纸；</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）已标价工程量清单或预算书；</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）其他合同文件。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在合同订立及履行过程中形成的与合同有关的文件均构成合同文件组成部分。</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七、承诺</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1.发包人承诺按照法律规定履行项目审批手续、筹集工程建设资金并按照合同约定的期限和方式支付合同价款。</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2.</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承诺按照法律规定及合同约定组织完成工程施工，确保工程质量和安全，不进行转包及违法分包，并在缺陷责任期及保修期内承担相应的工程维修责任。</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3.发包人和</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通过招投标形式签订合同的，双方理解并承诺不再就同一工程另行签订与合同实质性内容相背离的协议。</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八、词语含义</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本协议书中词语含义与第二部分通用合同条款中赋予的含义相同。</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九、签订时间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本合同于</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2021</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年</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月</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日签订。</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十、签订地点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本合同在</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eastAsia="zh-CN"/>
          <w14:textFill>
            <w14:solidFill>
              <w14:schemeClr w14:val="tx1"/>
            </w14:solidFill>
          </w14:textFill>
        </w:rPr>
        <w:t>重庆市荣昌区人民医院</w:t>
      </w:r>
      <w:r>
        <w:rPr>
          <w:rFonts w:hint="eastAsia" w:ascii="方正仿宋_GBK" w:hAnsi="方正仿宋_GBK" w:eastAsia="方正仿宋_GBK" w:cs="方正仿宋_GBK"/>
          <w:bCs/>
          <w:color w:val="000000" w:themeColor="text1"/>
          <w:sz w:val="24"/>
          <w:szCs w:val="24"/>
          <w14:textFill>
            <w14:solidFill>
              <w14:schemeClr w14:val="tx1"/>
            </w14:solidFill>
          </w14:textFill>
        </w:rPr>
        <w:t>签订。</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十一、补充协议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合同未尽事宜，合同当事人另行签订补充协议，补充协议是合同的组成部分。</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十二、合同生效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本合同自</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eastAsia="zh-CN"/>
          <w14:textFill>
            <w14:solidFill>
              <w14:schemeClr w14:val="tx1"/>
            </w14:solidFill>
          </w14:textFill>
        </w:rPr>
        <w:t>双方签字盖章即时</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生效。</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十三、合同份数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本合同一式</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份，均具有同等法律效力，发包人执</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执</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、采购代理机构</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60" w:lineRule="exact"/>
        <w:ind w:left="5760" w:hanging="5760" w:hangingChars="24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发包人：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(公章)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  (公章)</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法定代表人（签字）：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法定代表人或其委托代理人：</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授权代表</w:t>
      </w:r>
      <w:r>
        <w:rPr>
          <w:rFonts w:hint="eastAsia" w:ascii="方正仿宋_GBK" w:hAnsi="方正仿宋_GBK" w:eastAsia="方正仿宋_GBK" w:cs="方正仿宋_GBK"/>
          <w:color w:val="000000" w:themeColor="text1"/>
          <w:sz w:val="24"/>
          <w:szCs w:val="24"/>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（签字）</w:t>
      </w:r>
    </w:p>
    <w:p>
      <w:pPr>
        <w:keepNext w:val="0"/>
        <w:keepLines w:val="0"/>
        <w:pageBreakBefore w:val="0"/>
        <w:widowControl w:val="0"/>
        <w:tabs>
          <w:tab w:val="left" w:pos="4410"/>
        </w:tabs>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采购办负责人</w:t>
      </w:r>
      <w:r>
        <w:rPr>
          <w:rFonts w:hint="eastAsia" w:ascii="方正仿宋_GBK" w:hAnsi="方正仿宋_GBK" w:eastAsia="方正仿宋_GBK" w:cs="方正仿宋_GBK"/>
          <w:color w:val="000000" w:themeColor="text1"/>
          <w:sz w:val="24"/>
          <w:szCs w:val="24"/>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widowControl w:val="0"/>
        <w:tabs>
          <w:tab w:val="left" w:pos="4410"/>
        </w:tabs>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组织机构代码：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组织机构代码：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ind w:left="5520" w:hanging="5520" w:hangingChars="23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  址：</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地  址：</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邮政编码：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邮政编码：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委托代理人：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委托代理人：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  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电  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传  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传  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电子信箱：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电子信箱：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ind w:left="6000" w:hanging="6000" w:hangingChars="25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开户银行：</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开</w:t>
      </w:r>
      <w:r>
        <w:rPr>
          <w:rFonts w:hint="eastAsia" w:ascii="方正仿宋_GBK" w:hAnsi="方正仿宋_GBK" w:eastAsia="方正仿宋_GBK" w:cs="方正仿宋_GBK"/>
          <w:color w:val="000000" w:themeColor="text1"/>
          <w:sz w:val="24"/>
          <w:szCs w:val="24"/>
          <w14:textFill>
            <w14:solidFill>
              <w14:schemeClr w14:val="tx1"/>
            </w14:solidFill>
          </w14:textFill>
        </w:rPr>
        <w:t>户银行：</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000000" w:themeColor="text1"/>
          <w:szCs w:val="21"/>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银行号</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账  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Cs w:val="21"/>
          <w:u w:val="single"/>
          <w14:textFill>
            <w14:solidFill>
              <w14:schemeClr w14:val="tx1"/>
            </w14:solidFill>
          </w14:textFill>
        </w:rPr>
        <w:t xml:space="preserve"> </w:t>
      </w:r>
    </w:p>
    <w:p>
      <w:pPr>
        <w:pStyle w:val="15"/>
        <w:keepNext w:val="0"/>
        <w:keepLines w:val="0"/>
        <w:pageBreakBefore w:val="0"/>
        <w:widowControl w:val="0"/>
        <w:kinsoku/>
        <w:wordWrap/>
        <w:overflowPunct/>
        <w:topLinePunct w:val="0"/>
        <w:autoSpaceDE/>
        <w:autoSpaceDN/>
        <w:bidi w:val="0"/>
        <w:spacing w:line="460" w:lineRule="exact"/>
        <w:ind w:left="0" w:leftChars="0" w:firstLine="0" w:firstLineChars="0"/>
        <w:jc w:val="lef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账号</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pageBreakBefore/>
        <w:kinsoku/>
        <w:wordWrap/>
        <w:overflowPunct/>
        <w:topLinePunct w:val="0"/>
        <w:bidi w:val="0"/>
        <w:spacing w:line="360" w:lineRule="auto"/>
        <w:jc w:val="center"/>
        <w:textAlignment w:val="auto"/>
        <w:outlineLvl w:val="9"/>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通用合同条款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outlineLvl w:val="9"/>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通用合同条款直接采用中华人民共和国住房和城乡建设部与国家工商行政管理总局联合制定的《建设工程施工合同》（GF-2017-0201）示范文本第二部分《通用合同条款》。</w:t>
      </w: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r>
        <w:rPr>
          <w:rFonts w:hint="eastAsia" w:ascii="方正仿宋_GBK" w:hAnsi="方正仿宋_GBK" w:eastAsia="方正仿宋_GBK" w:cs="方正仿宋_GBK"/>
          <w:color w:val="000000" w:themeColor="text1"/>
          <w:sz w:val="30"/>
          <w:szCs w:val="30"/>
          <w14:textFill>
            <w14:solidFill>
              <w14:schemeClr w14:val="tx1"/>
            </w14:solidFill>
          </w14:textFill>
        </w:rPr>
        <w:t xml:space="preserve">                  </w:t>
      </w: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br w:type="page"/>
      </w:r>
    </w:p>
    <w:p>
      <w:pPr>
        <w:keepNext w:val="0"/>
        <w:keepLines w:val="0"/>
        <w:pageBreakBefore w:val="0"/>
        <w:kinsoku/>
        <w:wordWrap/>
        <w:overflowPunct/>
        <w:topLinePunct w:val="0"/>
        <w:bidi w:val="0"/>
        <w:spacing w:line="440" w:lineRule="exact"/>
        <w:jc w:val="center"/>
        <w:textAlignment w:val="auto"/>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专用合同条款</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 一般约定</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  词语定义</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合同当事人和人员</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3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工程和设备</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永久工程：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单位工程：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永久占地：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日期</w:t>
      </w:r>
    </w:p>
    <w:p>
      <w:pPr>
        <w:keepNext w:val="0"/>
        <w:keepLines w:val="0"/>
        <w:pageBreakBefore w:val="0"/>
        <w:kinsoku/>
        <w:wordWrap/>
        <w:overflowPunct/>
        <w:topLinePunct w:val="0"/>
        <w:bidi w:val="0"/>
        <w:spacing w:line="440" w:lineRule="exact"/>
        <w:ind w:firstLine="240" w:firstLineChars="100"/>
        <w:textAlignment w:val="auto"/>
        <w:rPr>
          <w:rFonts w:hint="eastAsia" w:ascii="方正仿宋_GBK" w:hAnsi="方正仿宋_GBK" w:eastAsia="方正仿宋_GBK" w:cs="方正仿宋_GBK"/>
          <w:color w:val="000000" w:themeColor="text1"/>
          <w:kern w:val="2"/>
          <w:sz w:val="24"/>
          <w:szCs w:val="2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缺陷责任期：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按照</w:t>
      </w:r>
      <w:r>
        <w:rPr>
          <w:rFonts w:hint="eastAsia" w:ascii="方正仿宋_GBK" w:hAnsi="方正仿宋_GBK" w:eastAsia="方正仿宋_GBK" w:cs="方正仿宋_GBK"/>
          <w:color w:val="000000" w:themeColor="text1"/>
          <w:sz w:val="24"/>
          <w:szCs w:val="24"/>
          <w14:textFill>
            <w14:solidFill>
              <w14:schemeClr w14:val="tx1"/>
            </w14:solidFill>
          </w14:textFill>
        </w:rPr>
        <w:t>国家《建设工程质量管理条例》规定</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24"/>
          <w:szCs w:val="22"/>
          <w:lang w:val="en-US" w:eastAsia="zh-CN" w:bidi="ar-SA"/>
          <w14:textFill>
            <w14:solidFill>
              <w14:schemeClr w14:val="tx1"/>
            </w14:solidFill>
          </w14:textFill>
        </w:rPr>
        <w:t>基础设施工程、房屋建筑的地基基础工程和主体结构工程，为设计文件规定的该工程的合理使用年限。</w:t>
      </w:r>
    </w:p>
    <w:p>
      <w:pPr>
        <w:spacing w:line="400" w:lineRule="exact"/>
        <w:ind w:firstLine="560" w:firstLineChars="200"/>
        <w:rPr>
          <w:rFonts w:hint="eastAsia" w:ascii="方正仿宋_GBK" w:hAnsi="宋体" w:eastAsia="方正仿宋_GBK" w:cs="Times New Roman"/>
          <w:sz w:val="24"/>
          <w:szCs w:val="24"/>
        </w:rPr>
      </w:pP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宋体" w:eastAsia="方正仿宋_GBK" w:cs="Times New Roman"/>
          <w:sz w:val="24"/>
          <w:szCs w:val="24"/>
        </w:rPr>
        <w:t>（1）屋面防水工程、有防水要求的卫生间、房间和外墙面的防渗漏为５年；</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（2）供热与供冷系统，为２个采暖期、供冷期；</w:t>
      </w:r>
    </w:p>
    <w:p>
      <w:pPr>
        <w:spacing w:line="400" w:lineRule="exact"/>
        <w:ind w:firstLine="480" w:firstLineChars="20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（3）电气管线、给排水管道、设备安装和装修工程，为２年</w:t>
      </w:r>
      <w:r>
        <w:rPr>
          <w:rFonts w:hint="eastAsia" w:ascii="方正仿宋_GBK" w:hAnsi="宋体" w:eastAsia="方正仿宋_GBK" w:cs="Times New Roman"/>
          <w:sz w:val="24"/>
          <w:szCs w:val="24"/>
          <w:lang w:eastAsia="zh-CN"/>
        </w:rPr>
        <w:t>；</w:t>
      </w:r>
    </w:p>
    <w:p>
      <w:pPr>
        <w:spacing w:line="400" w:lineRule="exact"/>
        <w:ind w:firstLine="480" w:firstLineChars="200"/>
        <w:rPr>
          <w:rFonts w:hint="default"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（4）其他工程的保修期均为2年；</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建设工程的保修期，自竣工验收合格之日起计算。</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合同文件的优先顺序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合同文件的优先顺序：</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施工工程中的书面补充协议；本合同协议书；</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成交通知书</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；本合同专用条款；竞争性</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文件及附件；本合同通用条款；响应文件及其附件；标准、规范及有关技术文件；图纸；已标价工程量清单及组价文件及其单价分析表；经</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批准的施工组织设计和方案。</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合同生效的条件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合同生效的条件：</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成交供应商提交履约保证金后，双方签订合同后生效。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图纸和成交供应商文件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  采购人提供图纸的期限、数量：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.2  成交供应商提供的文件范围：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成交供应商提供文件的期限、数量：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批复成交供应商提供文件的期限：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.3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签发图纸修改的期限：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联络</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联络送达的期限：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  采购人义务</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提供施工场地</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设计相关文件以及图纸</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采购人提供施工场地和有关资料的时间：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发出开工通知前提供</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3.项目管理人员</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的职责和权力</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须经采购人事先批准行使的权力：</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以采购人书面通知为准</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4.成交供应商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4.1 成交供应商的一般义务</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none"/>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4.1</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为他人提供方便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none"/>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成交供应商为他人提供条件的内容：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成交供应商为他人提供条件可能发生费用的处理方法：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4.2 履约担保</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及低价风险担保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4.2.1</w:t>
      </w:r>
      <w:r>
        <w:rPr>
          <w:rFonts w:hint="eastAsia" w:ascii="方正仿宋_GBK" w:hAnsi="方正仿宋_GBK" w:eastAsia="方正仿宋_GBK" w:cs="方正仿宋_GBK"/>
          <w:color w:val="000000" w:themeColor="text1"/>
          <w:sz w:val="24"/>
          <w:szCs w:val="24"/>
          <w14:textFill>
            <w14:solidFill>
              <w14:schemeClr w14:val="tx1"/>
            </w14:solidFill>
          </w14:textFill>
        </w:rPr>
        <w:t>履约担保</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履约保证金的形式：转账；（应从其基本账户转出）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履约保证金的金额：成交合同价款的10﹪；</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履约保证金提交的时间：在收到成交通知书后务必在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24"/>
          <w:szCs w:val="24"/>
          <w14:textFill>
            <w14:solidFill>
              <w14:schemeClr w14:val="tx1"/>
            </w14:solidFill>
          </w14:textFill>
        </w:rPr>
        <w:t>日内缴清履约保证金并完成合同签订，否则采购人有权取消其成交资格，并按相关规定对其处理；</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履约担保的期限：自提交履约担保之日起至竣工验收合格之日止；</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履约保证金的退还：在成交供应商履约完毕后15日内，由采购人把各阶段工作延期罚款扣除后，无息退还至成交供应商公司账户。</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4.2.3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的成交价格低于采购项目最高限价85%的，在发出成交通知书前，成交供应商须提供低价风险保证金，保证金额为采购项目最高限价与成交报价之差（注：低价风险保证金应当从成交供应商的基本账户转出）；</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低价风险担保的提交时间：发包人与承包人签订合同前15日内；</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低价风险担保的期限：自低价风险担保生效之日起至竣工验收合格之日止；</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低价风险保证金使用：影响项目工程进度和质量的，采购人可以动用低价风险保证金开展项目建设；</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低价风险保证金退还：工程竣工验收合格后15个工作日内一次性无息退还（如出现第4条的相应情形，则只退还剩余部分）。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4.3分包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当事人约定某些非主体、非关键性工作分包给第三人：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在满足相关法律、规范要求的前提下，除非得到采购人许可外不允许分包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不利物质条件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不利物质条件的范围：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5.材料和工程设备</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 成交供应商提供的材料和工程设备</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5.1.1 成交供应商负责采购、运输和保管的材料、工程设备：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所有进场</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材料</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主、辅材</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相关施工机具设备、运输工具、安全防护设备。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设备</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及材料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质量应符合国家现行质量验收标准，符合设计要求，所有材料设备必须经采购人确认后才能进场。对未按上述要求采购、进场的材料、设备，采购人将拒绝用于本工程，并要求成交供应商自行无偿清退出场。由此造成的损失，概由成交供应商承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5.1.2 成交供应商报送</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审批的时间：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5.2  采购人提供的材料和工程设备</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5.2.1材料的名称、规格、数量和价格：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材料的交货方式、地点和日期：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工程设备的名称、规格、数量和价格：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工程设备的交货方式、地点和日期：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材料和工程设备的接收、运输与保管：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6.施工设备和临时设施</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6.1成交供应商提供的施工设备和临时设施</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成交供应商承担修建临时设施费用的范围：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办理各项申请由成交供应商自行负责，采购人协助。成交供应商承担修建临时设施的费用，该笔费用已含在合同价款中不作调整</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临时占地的申请：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成交供应商自行负责</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临时占地相关费用：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临时占地的费用已包含到成交供应商报价中，成交供应商自行负责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6.2  采购人提供的施工设备和临时设施</w:t>
      </w:r>
      <w:r>
        <w:rPr>
          <w:rFonts w:hint="eastAsia" w:ascii="方正仿宋_GBK" w:hAnsi="方正仿宋_GBK" w:eastAsia="方正仿宋_GBK" w:cs="方正仿宋_GBK"/>
          <w:color w:val="000000" w:themeColor="text1"/>
          <w:sz w:val="24"/>
          <w:szCs w:val="24"/>
          <w:u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无</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7.交通运输</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7.1 道路通行权和场外设施</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取得道路通行权、修建场外设施权的办理人：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成交供应商自行负责</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相关费用：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包含在合同价（中标价）中，由成交供应商自行承担</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7.2场内施工道路</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7.2.1 临时道路和交通设施的修建、维护、养护和管理人：</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按通用条款执行</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因承包人原因造成道路或交通设施损坏的，承包人负责修复并承担由此增加的费用。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7.2.2 临时道路和交通设施相关费用的承担：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超大件和超重件的运输</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道路和桥梁临时新建改造费用和其他有关费用的承担：</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8.测量放线</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8.1 施工控制网</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采购人提供测量基准点、基准线和水准点的期限：。</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施工控制网的测设：</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成交供应商自行承担</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审批施工控制网资料的期限：  。    </w:t>
      </w:r>
    </w:p>
    <w:p>
      <w:pPr>
        <w:keepNext w:val="0"/>
        <w:keepLines w:val="0"/>
        <w:pageBreakBefore w:val="0"/>
        <w:numPr>
          <w:ilvl w:val="0"/>
          <w:numId w:val="3"/>
        </w:numPr>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施工安全、治安保卫和环境保护</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采购人的施工安全责任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采购人应按照《重庆市建设工程安全生产监督管理办法》（渝建发〔2008〕177号）、《重庆市房屋建筑和市政基础设施工程现场文明施工标准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试行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》（渝建</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质</w:t>
      </w:r>
      <w:r>
        <w:rPr>
          <w:rFonts w:hint="eastAsia" w:ascii="方正仿宋_GBK" w:hAnsi="方正仿宋_GBK" w:eastAsia="方正仿宋_GBK" w:cs="方正仿宋_GBK"/>
          <w:color w:val="000000" w:themeColor="text1"/>
          <w:sz w:val="24"/>
          <w:szCs w:val="24"/>
          <w14:textFill>
            <w14:solidFill>
              <w14:schemeClr w14:val="tx1"/>
            </w14:solidFill>
          </w14:textFill>
        </w:rPr>
        <w:t>发〔20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33</w:t>
      </w:r>
      <w:r>
        <w:rPr>
          <w:rFonts w:hint="eastAsia" w:ascii="方正仿宋_GBK" w:hAnsi="方正仿宋_GBK" w:eastAsia="方正仿宋_GBK" w:cs="方正仿宋_GBK"/>
          <w:color w:val="000000" w:themeColor="text1"/>
          <w:sz w:val="24"/>
          <w:szCs w:val="24"/>
          <w14:textFill>
            <w14:solidFill>
              <w14:schemeClr w14:val="tx1"/>
            </w14:solidFill>
          </w14:textFill>
        </w:rPr>
        <w:t>号）等相关规定履行好采购人的施工安全责任。按照有关规定编制安全技术措施或者专项施工方案，建立安全生产责任制度、治安保卫制度及安全生产教育培训制度，并按安全生产法律规定及合同约定履行安全职责，如实编制工程安全生产的有关记录</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办理工伤保险，确保工程及人员、材料、设备和设施的安全</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成交供应商的施工安全责任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应按照《重庆市建设工程安全生产监督管理办法》（渝建发〔2008〕177号）等相关规定履行好成交供应商的施工安全责任。为确保施工期间师生安全，合同签订三日内成交供应商到现场与采购人共同商定施工时序，成交供应商按此时序调整施工组织方案和施工计划。</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治安保卫</w:t>
      </w:r>
    </w:p>
    <w:p>
      <w:pPr>
        <w:keepNext w:val="0"/>
        <w:keepLines w:val="0"/>
        <w:pageBreakBefore w:val="0"/>
        <w:widowControl w:val="0"/>
        <w:kinsoku/>
        <w:wordWrap/>
        <w:overflowPunct/>
        <w:topLinePunct w:val="0"/>
        <w:bidi w:val="0"/>
        <w:spacing w:line="440" w:lineRule="exact"/>
        <w:ind w:left="0" w:leftChars="0" w:firstLine="480" w:firstLineChars="20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9.3.1自发包人向承包人移交施工现场之日起，承包人应负责照管工程及工程相关的材料、工程设备，直到颁发工程接收证书之日止；派遣专职保卫人员常驻施工现场照管。</w:t>
      </w:r>
    </w:p>
    <w:p>
      <w:pPr>
        <w:keepNext w:val="0"/>
        <w:keepLines w:val="0"/>
        <w:pageBreakBefore w:val="0"/>
        <w:widowControl w:val="0"/>
        <w:kinsoku/>
        <w:wordWrap/>
        <w:overflowPunct/>
        <w:topLinePunct w:val="0"/>
        <w:bidi w:val="0"/>
        <w:spacing w:line="440" w:lineRule="exact"/>
        <w:ind w:left="0" w:leftChars="0" w:firstLine="480" w:firstLineChars="20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9.3.2在承包人负责照管期间，因承包人原因造成工程、材料、工程设备损坏的，由承包人负责修复或更换，并承担由此增加的费用和（或）延误的工期。</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现场治安管理机构或联防组织的组建：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由成交供应商自行准备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施工场地治安管理计划和突发治安事件紧急预案的编制：由成交供应商自行解决。</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9.4环境保护</w:t>
      </w:r>
    </w:p>
    <w:p>
      <w:pPr>
        <w:keepNext w:val="0"/>
        <w:keepLines w:val="0"/>
        <w:pageBreakBefore w:val="0"/>
        <w:widowControl w:val="0"/>
        <w:kinsoku/>
        <w:wordWrap/>
        <w:overflowPunct/>
        <w:topLinePunct w:val="0"/>
        <w:bidi w:val="0"/>
        <w:spacing w:line="440" w:lineRule="exact"/>
        <w:ind w:firstLine="420"/>
        <w:jc w:val="both"/>
        <w:textAlignment w:val="auto"/>
        <w:rPr>
          <w:rFonts w:hint="eastAsia" w:ascii="方正仿宋_GBK" w:hAnsi="方正仿宋_GBK" w:eastAsia="方正仿宋_GBK" w:cs="方正仿宋_GBK"/>
          <w:color w:val="000000" w:themeColor="text1"/>
          <w:kern w:val="2"/>
          <w:sz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成交供应商应按照《重庆市建设工程安全生产监督管理办法》（渝建发〔2008〕177号）、《重庆市房屋建筑和市政基础设施工程现场文明施工标准（试行）》（渝建质发〔2020〕33号）等相关规定履行好施工扬尘控制、文明施工等责任。负责施工场地及其周边环境与生态的保护工作，承包人应在施工组织设计中列明环境保护的具体措施。在合同履行期间，承包人应采取合理措施保护施工现场环境。对施工作业过程中可能引起的大气、水、噪音以及固体废物污染采取具体可行的防范措施。承包人应当承担因其原因引起的环境污染侵权损害赔偿责任，因上述环境污染引起纠纷而导致暂停施工的，由此增加的费用和（或）延误的工期由承包人承担。</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10.进度计划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合同进度计划</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按法律规定和合同约定完成工程，按合同约定的工作内容和施工进度要求，编制施工组织设计和施工措施计划，并对所有施工作业和施工方法的完备性和安全可靠性负责</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成交供应商编制施工方案的内容：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成交供应商报送施工进度计划和施工方案的期限：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批复施工进度计划和施工方案的期限：</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11.开工和竣工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异常恶劣的气候条件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异常恶劣的气候条件的范围：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按重庆市气象部门公布的50年一遇的最大降水(雪)量等资料确认。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成交供应商的工期延误</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逾期违约金的计算方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法：</w:t>
      </w:r>
      <w:r>
        <w:rPr>
          <w:rFonts w:hint="eastAsia" w:ascii="方正仿宋_GBK" w:hAnsi="方正仿宋_GBK" w:eastAsia="方正仿宋_GBK" w:cs="方正仿宋_GBK"/>
          <w:color w:val="0000FF"/>
          <w:sz w:val="24"/>
          <w:szCs w:val="24"/>
          <w:u w:val="single"/>
        </w:rPr>
        <w:t>延期按</w:t>
      </w:r>
      <w:r>
        <w:rPr>
          <w:rFonts w:hint="eastAsia" w:ascii="方正仿宋_GBK" w:hAnsi="方正仿宋_GBK" w:eastAsia="方正仿宋_GBK" w:cs="方正仿宋_GBK"/>
          <w:color w:val="0000FF"/>
          <w:sz w:val="24"/>
          <w:szCs w:val="24"/>
          <w:u w:val="single"/>
          <w:lang w:val="en-US" w:eastAsia="zh-CN"/>
        </w:rPr>
        <w:t>1000</w:t>
      </w:r>
      <w:r>
        <w:rPr>
          <w:rFonts w:hint="eastAsia" w:ascii="方正仿宋_GBK" w:hAnsi="方正仿宋_GBK" w:eastAsia="方正仿宋_GBK" w:cs="方正仿宋_GBK"/>
          <w:color w:val="0000FF"/>
          <w:sz w:val="24"/>
          <w:szCs w:val="24"/>
          <w:u w:val="single"/>
        </w:rPr>
        <w:t>元/天计算违约金，违约金总金额不得超过合同金额的</w:t>
      </w:r>
      <w:r>
        <w:rPr>
          <w:rFonts w:hint="eastAsia" w:ascii="方正仿宋_GBK" w:hAnsi="方正仿宋_GBK" w:eastAsia="方正仿宋_GBK" w:cs="方正仿宋_GBK"/>
          <w:color w:val="0000FF"/>
          <w:sz w:val="24"/>
          <w:szCs w:val="24"/>
          <w:u w:val="single"/>
          <w:lang w:val="en-US" w:eastAsia="zh-CN"/>
        </w:rPr>
        <w:t>10</w:t>
      </w:r>
      <w:r>
        <w:rPr>
          <w:rFonts w:hint="eastAsia" w:ascii="方正仿宋_GBK" w:hAnsi="方正仿宋_GBK" w:eastAsia="方正仿宋_GBK" w:cs="方正仿宋_GBK"/>
          <w:color w:val="0000FF"/>
          <w:sz w:val="24"/>
          <w:szCs w:val="24"/>
          <w:u w:val="single"/>
        </w:rPr>
        <w:t>%。延期天数=实际竣工日期-合同约定竣工日期。实际竣工日期以采购人收到竣工报告日为准。以上天数均为日历天。</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12.暂停施工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成交供应商暂停施工的责任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成交供应商承担暂停施工责任的其他情形：</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由成交供应商承担责任。</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13.工程质量</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13.1工程质量要求</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必须按照工程设计要求、施工技术标准和合同约定，</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材料需经采购人、项目管理人员确认材料规格型号后方可进场使用，</w:t>
      </w:r>
      <w:r>
        <w:rPr>
          <w:rFonts w:hint="eastAsia" w:ascii="方正仿宋_GBK" w:hAnsi="方正仿宋_GBK" w:eastAsia="方正仿宋_GBK" w:cs="方正仿宋_GBK"/>
          <w:color w:val="000000" w:themeColor="text1"/>
          <w:sz w:val="24"/>
          <w:szCs w:val="24"/>
          <w14:textFill>
            <w14:solidFill>
              <w14:schemeClr w14:val="tx1"/>
            </w14:solidFill>
          </w14:textFill>
        </w:rPr>
        <w:t>对建筑材料、建筑构配件、设备和商品混凝土进行检验，检验应当有书面记录和专人签字；未经检验或者检验不合格的，不得使用。</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在施工中发现设计文件和图纸有差错的，应当及时提出意见和建议。经检查检验不合格的，影响正常施工的费用由承包人承担，工期不予顺延</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13.1.2</w:t>
      </w:r>
      <w:r>
        <w:rPr>
          <w:rFonts w:hint="eastAsia" w:ascii="方正仿宋_GBK" w:hAnsi="方正仿宋_GBK" w:eastAsia="方正仿宋_GBK" w:cs="方正仿宋_GBK"/>
          <w:color w:val="000000" w:themeColor="text1"/>
          <w:sz w:val="24"/>
          <w:szCs w:val="24"/>
          <w14:textFill>
            <w14:solidFill>
              <w14:schemeClr w14:val="tx1"/>
            </w14:solidFill>
          </w14:textFill>
        </w:rPr>
        <w:t>发包人对隐蔽工程及其施工工艺、材料和工程设备进行隐蔽检查。经发包人检查确认质量符合隐蔽要求，并在验收记录上签字后，承包人才能进行覆盖。经发包人检查质量不合格的，承包人应在发包人指示的时间内完成修复，并由发包人重新检查，由此增加的费用和（或）延误的工期由承包人承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承包人未通知发包人到场检查，私自将工程隐蔽部位覆盖的，发包人有权指示承包人钻孔探测或揭开检查，无论工程隐蔽部位质量是否合格，由此增加的费用和（或）延误的工期均由承包人承担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spacing w:line="440" w:lineRule="exact"/>
        <w:ind w:left="0" w:leftChars="0" w:firstLine="720" w:firstLineChars="300"/>
        <w:jc w:val="both"/>
        <w:textAlignment w:val="auto"/>
        <w:rPr>
          <w:rFonts w:hint="eastAsia" w:ascii="方正仿宋_GBK" w:hAnsi="方正仿宋_GBK" w:eastAsia="方正仿宋_GBK" w:cs="方正仿宋_GBK"/>
          <w:color w:val="000000" w:themeColor="text1"/>
          <w:kern w:val="2"/>
          <w:sz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13.1.3因承包人原因造成工程不合格的，发包人有权随时要求承包人采取补救措施，直至达到合同要求的质量标准，由此增加的费用和（或）延误的工期由承包人承担。无法补救的，拒绝接收全部或部分工程。因承包人原因造成工程的缺陷或损坏，承包人拒绝维修或未能在合理期限内修复缺陷或损坏，发包人有权自行修复或委托第三方修复，所需费用由承包人承担。</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13.1.4</w:t>
      </w:r>
      <w:r>
        <w:rPr>
          <w:rFonts w:hint="eastAsia" w:ascii="方正仿宋_GBK" w:hAnsi="方正仿宋_GBK" w:eastAsia="方正仿宋_GBK" w:cs="方正仿宋_GBK"/>
          <w:color w:val="000000" w:themeColor="text1"/>
          <w:sz w:val="24"/>
          <w:szCs w:val="24"/>
          <w14:textFill>
            <w14:solidFill>
              <w14:schemeClr w14:val="tx1"/>
            </w14:solidFill>
          </w14:textFill>
        </w:rPr>
        <w:t>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13.1.5</w:t>
      </w:r>
      <w:r>
        <w:rPr>
          <w:rFonts w:hint="eastAsia" w:ascii="方正仿宋_GBK" w:hAnsi="方正仿宋_GBK" w:eastAsia="方正仿宋_GBK" w:cs="方正仿宋_GBK"/>
          <w:color w:val="000000" w:themeColor="text1"/>
          <w:sz w:val="24"/>
          <w:szCs w:val="24"/>
          <w14:textFill>
            <w14:solidFill>
              <w14:schemeClr w14:val="tx1"/>
            </w14:solidFill>
          </w14:textFill>
        </w:rPr>
        <w:t>采购人、项目管理人员和成交供应商在工程建设中，按照有关规范和上级有关要求进行验收，并执行以下规定：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1、经过审查的设计图纸、设计变更、图纸会审纪要和相关设计图集；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1）《砌体结构设计规范》（GB50010-20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2）《混凝土结构设计规范》（GB50010-2010)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3）《建筑工程施工质量验收统一标准》（GB50300-2001）</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4）《建筑钢结构焊接技术规程 》（JBJ81-2002）</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5）《低压配电设计规范》（GB50054-2011）</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6）《建筑照明设计规范》（GB50034-2013）</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7）《建筑装饰装修工程质量验收规范》（GB50210-20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18</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8）《建筑地面工程施工质量验收规范》（GB50209-2010)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9）《木结构设计规范》（GB5005-2003)</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10）《民用建筑工程室内环境污染控制规范》(GB50325-2010)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11）《建筑内部装修设计防火规范》(GB50222-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2017</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12）其它相关规范及资料</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和成交供应商在工程建设中，应执行重庆市建筑工程相关地方标准。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13.2成交供应商的质量检查</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成交供应商提交工程质量保证措施文件的期限：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14.变更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.1变更的范围和内容</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变更的范围与内容：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变更的范围和内容以</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人发出的书面变更令为准。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变更程序</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变更估价</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成交供应商提交变更报价书的期限：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成交供应商应在收到变更指示或变更意向书后的</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天内，向</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人提交变更报价书。</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人商定或确定变更价格的期限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人应在收到成交供应商变更报价书后的</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天内完成价格核定报采购人审核同意后与成交供应商商定或确定变更价格。</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14.3</w:t>
      </w:r>
      <w:r>
        <w:rPr>
          <w:rFonts w:hint="eastAsia" w:ascii="方正仿宋_GBK" w:hAnsi="方正仿宋_GBK" w:eastAsia="方正仿宋_GBK" w:cs="方正仿宋_GBK"/>
          <w:color w:val="000000" w:themeColor="text1"/>
          <w:sz w:val="24"/>
          <w:szCs w:val="24"/>
          <w14:textFill>
            <w14:solidFill>
              <w14:schemeClr w14:val="tx1"/>
            </w14:solidFill>
          </w14:textFill>
        </w:rPr>
        <w:t>变更的估价原则</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属于设计变更的项目，则由成交供应商按照定额执行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其中的人工、材料价格按施工期间的《重庆工程造价信息》公布的荣昌地区指导价均价执行，未有的材料价格以采购人、采购人代表单位、政府监督部门核质核价执行。</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成交供应商的合理化建议</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对成交供应商提出合理化建议的奖励方法：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不采用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暂估价</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暂估价由采购人认质认价办理结算。</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16.价格调整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16.1物价波动引起的价格调整：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不调整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17.计量与支付</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17.1计量</w:t>
      </w:r>
      <w:r>
        <w:rPr>
          <w:rFonts w:hint="eastAsia" w:ascii="方正仿宋_GBK" w:hAnsi="方正仿宋_GBK" w:eastAsia="方正仿宋_GBK" w:cs="方正仿宋_GBK"/>
          <w:color w:val="000000" w:themeColor="text1"/>
          <w:sz w:val="24"/>
          <w:szCs w:val="24"/>
          <w14:textFill>
            <w14:solidFill>
              <w14:schemeClr w14:val="tx1"/>
            </w14:solidFill>
          </w14:textFill>
        </w:rPr>
        <w:tab/>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计量周期</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本合同的计量周期：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总价子目的计量</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总价子目的计量方法：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批准的各阶段工程形象目标进行计量。</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17.2预付款</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17.2.1预付款</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预付款额度和预付方法：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无</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17.2.2预付款保函</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预付款保函的提交时间：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17.2.3预付款的扣回与还清</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预付款的扣回办法：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17.3进度款</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进度付款申请单</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进度付款申请单的份数：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份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进度付款申请单的内容： (1)付款次数或编号； (2)截至本次付款周期末已实施工程的价款；(3)变更金额； (4)索赔金额； (5)本次扣减的质量保证金； (6)根据合同应增加和扣减的其他金额。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进度付款证书和支付时间</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进度款支付方法：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工程竣工验收合格付至合同金额的60%，审计结束后付至审定金额的97%，3%工程质量保证金在工程质保期满后15个工作日内一次性无息退还。</w:t>
      </w:r>
    </w:p>
    <w:p>
      <w:pPr>
        <w:keepNext w:val="0"/>
        <w:keepLines w:val="0"/>
        <w:pageBreakBefore w:val="0"/>
        <w:kinsoku/>
        <w:wordWrap/>
        <w:overflowPunct/>
        <w:topLinePunct w:val="0"/>
        <w:bidi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17.4质量保证金</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17.4.1质量保证金的金额或比例：</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审定金额的3%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17.5竣工结算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结算总价=中标价±设计变更、技术洽商、现场签证结算价±工程量计算偏差调整±专业及材料暂估价据实调整±中标价安全文明施工费据实调整±合同约定的其他因素。</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1、具体结算办法如下：</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1）工程量清单报价中有相同子项的，按该子项的中标综合单价执行；</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2）工程量清单报价中有类似子项的，参照竞标报价中类似子项的中标综合单价执行（类似子项由采购人审定）；</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工程量清单报价中无相同子项或类似子项的，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4）因成交供应商原因引起的工程量增加，不予计量、计价。</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2、工程量计算偏差包括工程量清单少量、多量、漏项、多项，其中少量、多量在±5%（含5%）以内不予调整。</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3、专业工程暂估价和材料的暂定价格由采购人认质认价办理结算。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4、本项目结算最终以相关单位审定的金额为准。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5、其他要求</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在合同签订后,成交供应商应对照招标的施工图和清单，将量差、设计中选材与预算选材不符、漏项等问题认真清理,将预算漏项、量差使算金额在合同签订后30天内报送采购人,由采购人会同原预算单位、设计单位、项目管理人员单位等共同复核,复核后各方签字确认。凡因成交供应商自身原因在合同签订30天之内未报送的,按5.3所述的条款处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2）若成交供应商报送的预算漏项、量差估算金额与该部分的审定金额比较,审减率在5%以上的，则视为成交供应商违约，违约金=该部分的核金额*(审减率-5%)。此违约金需由审核单位确认并体现在审核报告中。</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3）因成交供应商自身原因，在合同签订后30天内，未提供5.1中要求资料的，视为成交供应商放弃将量差、漏项导致的增加工程投资纳入结算的权利，且成交供应商必须完成以下施工内容,不得再纳入结算;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(1)清单漏项的,成交供应商必须按图施工;</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(2)按招标施工图计算的实际工程量超过预算工程量，成交供应商必须按图施工,不调整预算少量部分: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(3）若招标施工图设计的材料与招标预算清单中选用的材料不一致且设计选用的材料单价高于预算中材料单价的,由发包人结合设计单位意见和愿设计材料单价自主选择材料,并按投标清单报价结算;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（4）其他预算问题，成交供应商必须按图施工，且在结算时一律不予认可。</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17.6最终结清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17.6.1最终结清申请单</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最终结清申请单的份数和提交期限： 在缺陷责任期</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到期</w:t>
      </w:r>
      <w:r>
        <w:rPr>
          <w:rFonts w:hint="eastAsia" w:ascii="方正仿宋_GBK" w:hAnsi="方正仿宋_GBK" w:eastAsia="方正仿宋_GBK" w:cs="方正仿宋_GBK"/>
          <w:color w:val="000000" w:themeColor="text1"/>
          <w:sz w:val="24"/>
          <w:szCs w:val="24"/>
          <w14:textFill>
            <w14:solidFill>
              <w14:schemeClr w14:val="tx1"/>
            </w14:solidFill>
          </w14:textFill>
        </w:rPr>
        <w:t>后</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天内提交</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份最终结清申请单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18.竣工验收</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竣工验收申请报告</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竣工资料内容：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符合重庆市档案管理的规定。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竣工资料份数：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一式五套，另附电子版一套。</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验收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2.1</w:t>
      </w:r>
      <w:r>
        <w:rPr>
          <w:rFonts w:hint="eastAsia" w:ascii="方正仿宋_GBK" w:hAnsi="方正仿宋_GBK" w:eastAsia="方正仿宋_GBK" w:cs="方正仿宋_GBK"/>
          <w:color w:val="000000" w:themeColor="text1"/>
          <w:sz w:val="24"/>
          <w:szCs w:val="24"/>
          <w14:textFill>
            <w14:solidFill>
              <w14:schemeClr w14:val="tx1"/>
            </w14:solidFill>
          </w14:textFill>
        </w:rPr>
        <w:t>实际竣工日期：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经验收合格工程的实际竣工日期以验收合格日为准，则在工程接收证书中写明验收合格日为实际竣工日期。</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施工期运行</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.1需要施工期运行单位工程或工程设备：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试运行</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.1试运行的组织及费用承担：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采购人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竣工清场</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.1竣工清场：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成交供应商负责按照通用条款的要求在竣工验收前完成竣工清场相关工作及费用。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施工队伍的撤离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施工人员、施工设备及其临时工程撤离的要求：</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执行通用条款。</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19.缺陷责任与保修责任</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保修责任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工程质量保修范围、期限和责任：</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按国家有关规定。</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20.保险</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20.1工程保险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投保人：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成交供应商应以采购人和成交供应商的共同名义向双方同意的保险人投保建筑工程一切险、拆迁工程一切险、以及以下所要求的各种保险，投保所需的费用已含在投标报价中，由成交供应商自行承担。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投保内容：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按通用条款20.1、20.2、20.3、20.4、20.5条执行。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保险金额、保险费率和保险期限：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按照有关法律规定。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第三者责任险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第三者责任险的保险费率：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由成交供应商与保险人商议确定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第三者责任险的保险金额：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由成交供应商与保险人商议确定 。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其他保险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需要投保其他内容、保险金额、费率及期限等：</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由成交供应商自行考虑确定，费用由成交供应商自行承担。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对各项保险的一般要求</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.1保险凭证</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保险条件：</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成交供应商应以采购人和成交供应商的共同名义对由成交供应商风险造成的事故提供保险。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成交供应商提交保险凭证的期限：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合同签订日起20天以内</w:t>
      </w:r>
      <w:r>
        <w:rPr>
          <w:rFonts w:hint="eastAsia" w:ascii="方正仿宋_GBK" w:hAnsi="方正仿宋_GBK" w:eastAsia="方正仿宋_GBK" w:cs="方正仿宋_GBK"/>
          <w:color w:val="000000" w:themeColor="text1"/>
          <w:sz w:val="24"/>
          <w:szCs w:val="24"/>
          <w:u w:val="none"/>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对各项保险的一般要求</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保险金不足以补偿损失时，应由成交供应商和(或)采购人负责补偿的范围与金额：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永久工程损失保险赔偿与实际损失的差额由成交供应商补偿，临时工程、施工设备和施工人员损失保险赔偿与实际损失的差额由成交供应商补偿。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21.不可抗力</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21.1不可抗力的确认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不可抗力的范围：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不可抗力后果及其处理</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.1 不可抗力造成损害的责任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不可抗力导致的人员伤亡、财产损失、费用增加和(或)工期延误由合同双方按以下方法承担：</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22.争议的解决</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  争议的解决方式</w:t>
      </w:r>
    </w:p>
    <w:p>
      <w:pPr>
        <w:keepNext w:val="0"/>
        <w:keepLines w:val="0"/>
        <w:pageBreakBefore w:val="0"/>
        <w:kinsoku/>
        <w:wordWrap/>
        <w:overflowPunct/>
        <w:topLinePunct w:val="0"/>
        <w:bidi w:val="0"/>
        <w:spacing w:line="440" w:lineRule="exact"/>
        <w:ind w:firstLine="240" w:firstLineChars="100"/>
        <w:textAlignment w:val="auto"/>
        <w:outlineLvl w:val="9"/>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t>（1）向重庆仲裁委员会建设工程仲裁院申请仲裁；</w:t>
      </w:r>
    </w:p>
    <w:p>
      <w:pPr>
        <w:keepNext w:val="0"/>
        <w:keepLines w:val="0"/>
        <w:pageBreakBefore w:val="0"/>
        <w:kinsoku/>
        <w:wordWrap/>
        <w:overflowPunct/>
        <w:topLinePunct w:val="0"/>
        <w:bidi w:val="0"/>
        <w:spacing w:line="440" w:lineRule="exact"/>
        <w:ind w:firstLine="240" w:firstLineChars="100"/>
        <w:textAlignment w:val="auto"/>
        <w:outlineLvl w:val="9"/>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t>（2）向有管辖权的人民法院提起诉讼。</w:t>
      </w:r>
    </w:p>
    <w:p>
      <w:pPr>
        <w:keepNext w:val="0"/>
        <w:keepLines w:val="0"/>
        <w:pageBreakBefore w:val="0"/>
        <w:kinsoku/>
        <w:wordWrap/>
        <w:overflowPunct/>
        <w:topLinePunct w:val="0"/>
        <w:bidi w:val="0"/>
        <w:spacing w:line="440" w:lineRule="exact"/>
        <w:ind w:left="600" w:hanging="600" w:hangingChars="25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23.其他约定</w:t>
      </w:r>
    </w:p>
    <w:p>
      <w:pPr>
        <w:keepNext w:val="0"/>
        <w:keepLines w:val="0"/>
        <w:pageBreakBefore w:val="0"/>
        <w:kinsoku/>
        <w:wordWrap/>
        <w:overflowPunct/>
        <w:topLinePunct w:val="0"/>
        <w:bidi w:val="0"/>
        <w:spacing w:line="440" w:lineRule="exact"/>
        <w:ind w:left="600" w:hanging="600" w:hanging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施工前的准备工作</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在合同签订后3个工作日，提供配合施工报建所需的所有应由施工方提供的各种证件和其他相应材料。</w:t>
      </w:r>
    </w:p>
    <w:p>
      <w:pPr>
        <w:keepNext w:val="0"/>
        <w:keepLines w:val="0"/>
        <w:pageBreakBefore w:val="0"/>
        <w:kinsoku/>
        <w:wordWrap/>
        <w:overflowPunct/>
        <w:topLinePunct w:val="0"/>
        <w:bidi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2、在施工合同签订后的10个工作日内，提交经项目管理人员审核合格的施工组织设计。</w:t>
      </w:r>
    </w:p>
    <w:p>
      <w:pPr>
        <w:keepNext w:val="0"/>
        <w:keepLines w:val="0"/>
        <w:pageBreakBefore w:val="0"/>
        <w:kinsoku/>
        <w:wordWrap/>
        <w:overflowPunct/>
        <w:topLinePunct w:val="0"/>
        <w:bidi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1或第2条工作不能按期完成，每延迟一天按1000元计算延期违约金，在履约保证金中扣除。当成交供应商完成第1和第2条实际耗时超出规定时间的2倍，将被视为不能履约，采购人有权解除合同，没收全部履约保证金。</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w:t>
      </w:r>
      <w:r>
        <w:rPr>
          <w:rFonts w:hint="eastAsia" w:ascii="方正仿宋_GBK" w:hAnsi="方正仿宋_GBK" w:eastAsia="方正仿宋_GBK" w:cs="方正仿宋_GBK"/>
          <w:color w:val="000000" w:themeColor="text1"/>
          <w:sz w:val="24"/>
          <w:szCs w:val="24"/>
          <w14:textFill>
            <w14:solidFill>
              <w14:schemeClr w14:val="tx1"/>
            </w14:solidFill>
          </w14:textFill>
        </w:rPr>
        <w:t>施工过程中的进度管理</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施工组织计划必须含依据合同总工期 “倒排工程进度计划”，同时明确各阶段施工天数。</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成交供应商在各阶段施工计划完成后，向项目管理人员工程师提交已完工程报告及下一阶段施工进度计划，由项目管理人员工程师组织相关部门在3天内按合同、设计及规范要求进行验收，并确认下一阶段施工计划。</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如遇下列情况，经采购人确认后书面形式通知顺延工期：（1）因采购人原因引起的重大设计变更直接影响工程进度；（2）人力不可抗拒的自然灾害。成交供应商以书面形式提出工期顺延的要求，应于各阶段验收前报送印证材料供审核和确认。没有按时上报则视为该阶段无工期顺延。</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施工过程中，凡未能按“倒排工程进度计划”规定耗时天数完成各阶段任务的，每延迟一天按500元计算罚款，在履约保证金中扣除。采购人在各阶段任务完成（验收）时应以书面形式通知施工方，明确延期天数及扣款金额，由施工方项目经理签收，无人签收时，由</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14:textFill>
            <w14:solidFill>
              <w14:schemeClr w14:val="tx1"/>
            </w14:solidFill>
          </w14:textFill>
        </w:rPr>
        <w:t>通过传真或邮件向施工方发出通知视为送达（施工合同中必须留有施工方的传真、邮箱）。有意逃避签收的，采购人可以建议区建委将该公司及项目经理纳入黑名单并按相关规定处理。</w:t>
      </w:r>
      <w:r>
        <w:rPr>
          <w:rFonts w:hint="eastAsia" w:ascii="方正仿宋_GBK" w:hAnsi="方正仿宋_GBK" w:eastAsia="方正仿宋_GBK" w:cs="方正仿宋_GBK"/>
          <w:color w:val="000000" w:themeColor="text1"/>
          <w:sz w:val="24"/>
          <w:szCs w:val="24"/>
          <w14:textFill>
            <w14:solidFill>
              <w14:schemeClr w14:val="tx1"/>
            </w14:solidFill>
          </w14:textFill>
        </w:rPr>
        <w:cr/>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4、除采购人进行重大设计变更或不可抗力原因外，其他因素导致工期延误达到以下情形之一，在采购人多次书面通知不及时整改或整改无效后，成交供应商将视为不能履约：</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（1）某施工阶段实际验收完成时间比计划倒排工期中约定的完成时间延后10天及以上时。</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成交供应商被视为不能履约的，采购人有权终止合同，没收成交供应商履约保证金并追偿由此给采购人造成的损失。成交供应商在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天内清理退场，损失由成交供应商自行承担。成交供应商有异议的，不得干扰现场施工，可在退场后，提交重庆仲裁委员会仲裁。若干扰后续施工的，依法追究责任。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23.3</w:t>
      </w:r>
      <w:r>
        <w:rPr>
          <w:rFonts w:hint="eastAsia" w:ascii="方正仿宋_GBK" w:hAnsi="方正仿宋_GBK" w:eastAsia="方正仿宋_GBK" w:cs="方正仿宋_GBK"/>
          <w:color w:val="000000" w:themeColor="text1"/>
          <w:sz w:val="24"/>
          <w:szCs w:val="24"/>
          <w14:textFill>
            <w14:solidFill>
              <w14:schemeClr w14:val="tx1"/>
            </w14:solidFill>
          </w14:textFill>
        </w:rPr>
        <w:t>竣工时间延误罚款</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1、约定竣工日期为合同工期。凡因采购人重大设计变更或不可抗力造成的工期延误，均应在延误时间的施工阶段验收前延期签单，在结算审计时提交审计部门。</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2、若工程不能在合同约定竣工日期前取得竣工验收报告，延期违约金按</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1000</w:t>
      </w:r>
      <w:r>
        <w:rPr>
          <w:rFonts w:hint="eastAsia" w:ascii="方正仿宋_GBK" w:hAnsi="方正仿宋_GBK" w:eastAsia="方正仿宋_GBK" w:cs="方正仿宋_GBK"/>
          <w:color w:val="000000" w:themeColor="text1"/>
          <w:sz w:val="24"/>
          <w:szCs w:val="24"/>
          <w14:textFill>
            <w14:solidFill>
              <w14:schemeClr w14:val="tx1"/>
            </w14:solidFill>
          </w14:textFill>
        </w:rPr>
        <w:t>元/天计算，违约金总金额不得超过合同金额的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%，于结算审计后在工程尾款中扣除。竣工延期违约金不得与各阶段施工延期违约金（已在履约保证金中扣除）相抵扣。</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3、在工程竣工验收后，30天内完成结算送审工作，因成交供应商原因延期一天按100元计算违约金，违约金总金额不得超过合同金额的2%从工程尾款中扣除。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23.4</w:t>
      </w:r>
      <w:r>
        <w:rPr>
          <w:rFonts w:hint="eastAsia" w:ascii="方正仿宋_GBK" w:hAnsi="方正仿宋_GBK" w:eastAsia="方正仿宋_GBK" w:cs="方正仿宋_GBK"/>
          <w:color w:val="000000" w:themeColor="text1"/>
          <w:sz w:val="24"/>
          <w:szCs w:val="24"/>
          <w14:textFill>
            <w14:solidFill>
              <w14:schemeClr w14:val="tx1"/>
            </w14:solidFill>
          </w14:textFill>
        </w:rPr>
        <w:t>结算审计审减费用</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工程竣工结算报送上级审计单位审计时，基本审计费和审减工程造价金额在报送金额5%（含5%）范围内的审计费由采购人承担，审减金额超过报送金额5%范围以上的审减费用由承包单位负责。</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本工程结算最终以相关单位审定的金额为准。</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23.5</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在施工过程中，未经采购人同意，不得擅自更改响应文件中填报的项目经理、项目技术负责人和相关管理人员，否则采购人有权终止施工合同，没收履约保证金，成交供应商给采购人造成的损失超过履约保证金的，还应对超过部分进行赔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23.6</w:t>
      </w:r>
      <w:r>
        <w:rPr>
          <w:rFonts w:hint="eastAsia" w:ascii="方正仿宋_GBK" w:hAnsi="方正仿宋_GBK" w:eastAsia="方正仿宋_GBK" w:cs="方正仿宋_GBK"/>
          <w:color w:val="000000" w:themeColor="text1"/>
          <w:sz w:val="24"/>
          <w:szCs w:val="24"/>
          <w14:textFill>
            <w14:solidFill>
              <w14:schemeClr w14:val="tx1"/>
            </w14:solidFill>
          </w14:textFill>
        </w:rPr>
        <w:t>技术措施费包干使用。</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23.7</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成交供应商不得拖欠民工工资，如若拖欠，采购人有权将履约担保金用于支付成交供应商认可的民工工资（由承包方盖章的工资条或承包方委托代理人签字的工资条），从工程进度款中扣除。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23.8</w:t>
      </w:r>
      <w:r>
        <w:rPr>
          <w:rFonts w:hint="eastAsia" w:ascii="方正仿宋_GBK" w:hAnsi="方正仿宋_GBK" w:eastAsia="方正仿宋_GBK" w:cs="方正仿宋_GBK"/>
          <w:color w:val="000000" w:themeColor="text1"/>
          <w:sz w:val="24"/>
          <w:szCs w:val="24"/>
          <w14:textFill>
            <w14:solidFill>
              <w14:schemeClr w14:val="tx1"/>
            </w14:solidFill>
          </w14:textFill>
        </w:rPr>
        <w:t>本工程严禁挂靠、转包及违法分包，成交供应商必须以本企业建制的项目管理班子和施工力量为承建主体，否则，在履行施工合同阶段，采购人有权终止承包合同，追究成交供应商相应的法律责任。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23.9</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成交供应商编制的交竣工结算造价经采购人或其指定审核单位审核后，审减率超过5%部分，审核单位审减效益费由成交供应商按采购人与指定审核单位签订的合同标准承担。</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23.10</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在施工过程中，未经采购人同意，不得擅自更改填报的项目经理、技术负责人，否则采购人有权终止施工合同，没收履约保证金，成交供应商给采购人造成的损失超过履约保证金的，还应对超过部分进行赔偿。</w:t>
      </w:r>
    </w:p>
    <w:p>
      <w:pPr>
        <w:keepNext w:val="0"/>
        <w:keepLines w:val="0"/>
        <w:pageBreakBefore w:val="0"/>
        <w:kinsoku/>
        <w:wordWrap/>
        <w:overflowPunct/>
        <w:topLinePunct w:val="0"/>
        <w:bidi w:val="0"/>
        <w:adjustRightInd w:val="0"/>
        <w:snapToGrid w:val="0"/>
        <w:spacing w:line="440" w:lineRule="exact"/>
        <w:ind w:firstLine="48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在工程施工期间，如果需要更换所报项目经理或技术负责人名单时，必须事先与</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工程师协商并取得采购人的同意。未经采购人和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工程师同意擅自更换项目经理或主要管理人员，采购人有权中止合同。</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成交供应商必须在荣昌办理税务登记并就地全额申报缴纳各项税费。</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23.12承包人在工程施工期间，应当采取措施保持施工现场平整，物料堆放整齐。在工程移交之前，承包人应当从施工现场清除承包人的全部工程设备、多余材料、垃圾和各种临时工程，并保持施工现场清洁整齐。</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23.13施工过程中注意成品保护，若保护不当造成的损失由承包人负责赔偿，造成的投诉，核查属实，对承包人进行1000元/次的处罚。</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23.14因承包人原因引起的暂停施工，承包人应承担由此增加的费用和（或）延误的工期。</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23.15由于承包人原因在施工场地内及其毗邻地带造成的发包人、项目管理人员以及第三者人员伤亡和财产损失，由承包人负责赔偿。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23.16施工前需单独接水表、电表，施工所需100元内用水、用电由发包人负责，超出部分由承包人解决，承包人需于工程验收合格后10个工作日内将应付的水电费汇款至发包人公用账户，否则按照100元/天进行处罚。</w:t>
      </w:r>
    </w:p>
    <w:p>
      <w:pPr>
        <w:keepNext w:val="0"/>
        <w:keepLines w:val="0"/>
        <w:pageBreakBefore w:val="0"/>
        <w:widowControl w:val="0"/>
        <w:numPr>
          <w:ilvl w:val="0"/>
          <w:numId w:val="0"/>
        </w:numPr>
        <w:kinsoku/>
        <w:wordWrap/>
        <w:overflowPunct/>
        <w:topLinePunct w:val="0"/>
        <w:bidi w:val="0"/>
        <w:spacing w:line="440" w:lineRule="exact"/>
        <w:ind w:leftChars="0" w:firstLine="42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bidi w:val="0"/>
        <w:spacing w:line="440" w:lineRule="exact"/>
        <w:jc w:val="both"/>
        <w:textAlignment w:val="auto"/>
        <w:outlineLvl w:val="9"/>
        <w:rPr>
          <w:rFonts w:hint="eastAsia" w:ascii="方正仿宋_GBK" w:hAnsi="方正仿宋_GBK" w:eastAsia="方正仿宋_GBK" w:cs="方正仿宋_GBK"/>
          <w:b/>
          <w:color w:val="000000" w:themeColor="text1"/>
          <w:sz w:val="36"/>
          <w:szCs w:val="30"/>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附件一：      工程建设项目廉政责任书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工程项目名称：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工程项目地址：</w:t>
      </w:r>
      <w:r>
        <w:rPr>
          <w:rFonts w:hint="eastAsia" w:ascii="方正仿宋_GBK" w:hAnsi="方正仿宋_GBK" w:eastAsia="方正仿宋_GBK" w:cs="方正仿宋_GBK"/>
          <w:color w:val="000000" w:themeColor="text1"/>
          <w:sz w:val="24"/>
          <w:szCs w:val="24"/>
          <w:highlight w:val="none"/>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建设单位（甲方）：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（乙方）：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第一条　甲乙双方的责任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（一）应严格遵守国家关于市场准入、项目招标投标、工程建设、施工安装和市场活动等有关法律、法规，相关政策，以及廉政建设的各项规定。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（二）严格执行建设工程项目承发包合同文件，自觉按合同办事。</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第二条　甲方的责任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甲方的领导和从事该建设工程项目的工作人员，在工程建设的事前、事中、事后应遵守以下规定：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（一）不准向乙方和相关单位索要或接受回扣、礼金、有价证券、贵重物品和好处费、感谢费等。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（二）不准在乙方和相关单位报销任何应由甲方或个人支付的费用。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（三）不准要求、暗示或接受乙方和相关单位为个人装修住房、婚丧嫁娶、配偶子女的工作安排以及出国（境）、旅游等提供方便。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（四）不准参加有可能影响公正执行公务的乙方和相关单位的宴请和健身、娱乐等活动。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第三条　乙方的责任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应与甲方保持正常的业务交往，按照有关法律法规和程序开展业务工作，严格执行工程建设的有关方针、政策，尤其是有关建筑施工安装的强制性标准和规范，并遵守以下规定：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（一）不准以任何理由向甲方、相关单位及其工作人员索要、接受或赠送礼金、有价证券、贵重物品和回扣、好处费、感谢费等。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（二）不准以任何理由为甲方和相关单位报销应由对方或个人支付的费用。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（三）不准接受或暗示为甲方、相关单位或个人装修住房、婚丧嫁娶、配偶子女的工作安排以及出国（境）、旅游等提供方便。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（四）不准以任何理由为甲方、相关单位或个人组织有可能影响公正执行公务的宴请、健身、娱乐等活动。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第四条　违约责任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甲方工作人员有违反本责任书第一、二条责任行为的，按照管理权限，依据有关法律法规和规定给予党纪、政纪处分或组织处理；涉嫌犯罪，移交司法机关追究刑事责任；给乙方单位造成经济损失的，应予以赔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第五条　本责任书作为工程施工合同的附件，与工程施工合同具有同等法律效力。经双方签署后立即生效。</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第六条　本责任书的有效期为双方签署之日起至该工程项目竣工验收合格时止。</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第七条　本责任书一式四份，由甲乙双方各执一份，送交甲乙双方的监督单位各一份。</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甲方单位：（盖章）　　　　　　　　　　乙方单位：（盖章）</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或授权代表</w:t>
      </w:r>
      <w:r>
        <w:rPr>
          <w:rFonts w:hint="eastAsia" w:ascii="方正仿宋_GBK" w:hAnsi="方正仿宋_GBK" w:eastAsia="方正仿宋_GBK" w:cs="方正仿宋_GBK"/>
          <w:color w:val="000000" w:themeColor="text1"/>
          <w:sz w:val="24"/>
          <w:szCs w:val="24"/>
          <w14:textFill>
            <w14:solidFill>
              <w14:schemeClr w14:val="tx1"/>
            </w14:solidFill>
          </w14:textFill>
        </w:rPr>
        <w:t>：　　　　　　　　法定代表人：</w:t>
      </w:r>
    </w:p>
    <w:p>
      <w:pPr>
        <w:keepNext w:val="0"/>
        <w:keepLines w:val="0"/>
        <w:pageBreakBefore w:val="0"/>
        <w:kinsoku/>
        <w:wordWrap/>
        <w:overflowPunct/>
        <w:topLinePunct w:val="0"/>
        <w:bidi w:val="0"/>
        <w:adjustRightInd w:val="0"/>
        <w:snapToGrid w:val="0"/>
        <w:spacing w:line="440" w:lineRule="exact"/>
        <w:ind w:left="5756" w:leftChars="170" w:hanging="5280" w:hangingChars="2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采购办经办人：</w:t>
      </w:r>
    </w:p>
    <w:p>
      <w:pPr>
        <w:keepNext w:val="0"/>
        <w:keepLines w:val="0"/>
        <w:pageBreakBefore w:val="0"/>
        <w:kinsoku/>
        <w:wordWrap/>
        <w:overflowPunct/>
        <w:topLinePunct w:val="0"/>
        <w:bidi w:val="0"/>
        <w:adjustRightInd w:val="0"/>
        <w:snapToGrid w:val="0"/>
        <w:spacing w:line="440" w:lineRule="exact"/>
        <w:ind w:left="5756" w:leftChars="170" w:hanging="5280" w:hangingChars="2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地址：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地址：</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电话：　　　　　　　　　　　　　　　  电话：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　　　　　　            年　　月　　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甲方监督单位（盖章）　　　　　　　　　乙方监督单位（盖章）</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　　　　　　　　       年　  月　　 日</w:t>
      </w:r>
    </w:p>
    <w:p>
      <w:pPr>
        <w:pStyle w:val="15"/>
        <w:keepNext w:val="0"/>
        <w:keepLines w:val="0"/>
        <w:pageBreakBefore w:val="0"/>
        <w:kinsoku/>
        <w:wordWrap/>
        <w:overflowPunct/>
        <w:topLinePunct w:val="0"/>
        <w:bidi w:val="0"/>
        <w:spacing w:line="440" w:lineRule="exact"/>
        <w:ind w:left="0" w:leftChars="0" w:firstLine="0" w:firstLineChars="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2"/>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rPr>
      </w:pPr>
    </w:p>
    <w:p>
      <w:pPr>
        <w:keepNext w:val="0"/>
        <w:keepLines w:val="0"/>
        <w:pageBreakBefore w:val="0"/>
        <w:kinsoku/>
        <w:wordWrap/>
        <w:overflowPunct/>
        <w:topLinePunct w:val="0"/>
        <w:bidi w:val="0"/>
        <w:spacing w:line="440" w:lineRule="exact"/>
        <w:jc w:val="both"/>
        <w:textAlignment w:val="auto"/>
        <w:outlineLvl w:val="9"/>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pP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附件二：      农民工工资支付承诺</w:t>
      </w: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spacing w:line="440" w:lineRule="exact"/>
        <w:ind w:firstLine="120" w:firstLineChars="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为了切实维护建筑农民工的合法权益，确保社会和企业稳定，根据各级政府和相关主管部门的相关要求，结合我公司承包的</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工程的劳务施工实际情况，特作如下慎重承诺：</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1.我公司将严格按照有关部门相关规定和要求，切实做好农民工工资发放工作；</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我公司一定按照规定将农民工工资足额、直接发放到农民工手中；保证将每月发放的农民工工资表（表格形式、现场负责人和班组长签字认可、农民工本人签字）于次月15日前如实上报给贵单位，否则我司愿意接受贵单位的处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3.如因农民工工资发放、处置不力，导致农民工有不同形式的上访、闹访、集访等事件发生，贵单位将立即停止对我公司劳务工程款的支付，我公司愿意将剩余工程款用作民工工资保证金。</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由此造成的一切不良后果和损失由我公司承担。</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特此承诺！</w:t>
      </w: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单位全称：     （盖  章）</w:t>
      </w: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法定代表人或委托人：（签 字）</w:t>
      </w:r>
    </w:p>
    <w:p>
      <w:pPr>
        <w:keepNext w:val="0"/>
        <w:keepLines w:val="0"/>
        <w:pageBreakBefore w:val="0"/>
        <w:widowControl/>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kinsoku/>
        <w:wordWrap/>
        <w:overflowPunct/>
        <w:topLinePunct w:val="0"/>
        <w:bidi w:val="0"/>
        <w:spacing w:line="440" w:lineRule="exact"/>
        <w:ind w:firstLine="6720" w:firstLineChars="28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bidi w:val="0"/>
        <w:rPr>
          <w:rFonts w:hint="eastAsia" w:ascii="方正仿宋_GBK" w:hAnsi="方正仿宋_GBK" w:eastAsia="方正仿宋_GBK" w:cs="方正仿宋_GBK"/>
          <w:color w:val="000000" w:themeColor="text1"/>
          <w:kern w:val="0"/>
          <w:sz w:val="30"/>
          <w:szCs w:val="30"/>
          <w14:textFill>
            <w14:solidFill>
              <w14:schemeClr w14:val="tx1"/>
            </w14:solidFill>
          </w14:textFill>
        </w:rPr>
      </w:pP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附件三：        施工安全责任承诺书</w:t>
      </w:r>
      <w:r>
        <w:rPr>
          <w:rFonts w:hint="eastAsia" w:ascii="方正仿宋_GBK" w:hAnsi="方正仿宋_GBK" w:eastAsia="方正仿宋_GBK" w:cs="方正仿宋_GBK"/>
          <w:b/>
          <w:bCs w:val="0"/>
          <w:color w:val="000000" w:themeColor="text1"/>
          <w:kern w:val="2"/>
          <w:sz w:val="36"/>
          <w:szCs w:val="36"/>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0"/>
          <w:sz w:val="30"/>
          <w:szCs w:val="30"/>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工程项目名称：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工程项目地址：</w:t>
      </w:r>
      <w:r>
        <w:rPr>
          <w:rFonts w:hint="eastAsia" w:ascii="方正仿宋_GBK" w:hAnsi="方正仿宋_GBK" w:eastAsia="方正仿宋_GBK" w:cs="方正仿宋_GBK"/>
          <w:color w:val="000000" w:themeColor="text1"/>
          <w:sz w:val="24"/>
          <w:szCs w:val="24"/>
          <w:highlight w:val="none"/>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建设单位（甲方）：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kern w:val="0"/>
          <w:sz w:val="30"/>
          <w:szCs w:val="30"/>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（乙方）：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60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b w:val="0"/>
          <w:bCs w:val="0"/>
          <w:color w:val="000000" w:themeColor="text1"/>
          <w:sz w:val="30"/>
          <w:szCs w:val="30"/>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我司</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承包</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，并知晓此工程</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内容</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，故会严格贯彻执行国家颁布的《中华人民共和国安全生产法》、《中华人民共和国消防法》、《中华人民共和国</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"https://www.66law.cn/zhuanti/hjbhy/" \o "环境保护"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环境保护</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法》、《中华人民共和国</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"https://www.66law.cn/special/zybfz/" \o "职业病"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职业病</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防治法》、《</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"https://www.66law.cn/tiaoli/2.aspx" \o "劳动法"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劳动法</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》等各项劳动保护、安全生产的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"https://www.66law.cn/tiaoli/" \o "法律法规"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法律法规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。对</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本</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工程施工过程中发生的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"https://www.66law.cn/renshensunhai/" \o "人身伤害"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人身伤害</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、设备损坏事故承担安全责任。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14:textFill>
            <w14:solidFill>
              <w14:schemeClr w14:val="tx1"/>
            </w14:solidFill>
          </w14:textFill>
        </w:rPr>
        <w:t>若违反以上相关</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法律</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法规造成的安全事故和人身伤害均与荣昌区人民医院无关，由成交供应商负全责，如在施工过程中因操作不当给荣昌区人民医院造成财产损失的,应当无条件赔偿。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承诺时限：</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本</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承诺书</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签订之日起至本项目完结。</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承包单位</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（盖章）</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联系方式</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签订日期：</w:t>
      </w:r>
    </w:p>
    <w:bookmarkEnd w:id="183"/>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4" w:name="_Hlt41879464"/>
      <w:bookmarkEnd w:id="184"/>
      <w:bookmarkStart w:id="185" w:name="招标文件04章合同条款及格式01"/>
      <w:bookmarkEnd w:id="185"/>
      <w:bookmarkStart w:id="186" w:name="招标文件04章合同条款及格式03_08"/>
      <w:bookmarkEnd w:id="186"/>
      <w:bookmarkStart w:id="187" w:name="_Toc44682707"/>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8" w:name="_Toc31734"/>
      <w:r>
        <w:rPr>
          <w:rFonts w:hint="eastAsia" w:ascii="方正仿宋_GBK" w:hAnsi="方正仿宋_GBK" w:eastAsia="方正仿宋_GBK" w:cs="方正仿宋_GBK"/>
          <w:b/>
          <w:color w:val="000000" w:themeColor="text1"/>
          <w:sz w:val="36"/>
          <w:szCs w:val="30"/>
          <w14:textFill>
            <w14:solidFill>
              <w14:schemeClr w14:val="tx1"/>
            </w14:solidFill>
          </w14:textFill>
        </w:rPr>
        <w:t>第</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六</w:t>
      </w:r>
      <w:r>
        <w:rPr>
          <w:rFonts w:hint="eastAsia" w:ascii="方正仿宋_GBK" w:hAnsi="方正仿宋_GBK" w:eastAsia="方正仿宋_GBK" w:cs="方正仿宋_GBK"/>
          <w:b/>
          <w:color w:val="000000" w:themeColor="text1"/>
          <w:sz w:val="36"/>
          <w:szCs w:val="30"/>
          <w14:textFill>
            <w14:solidFill>
              <w14:schemeClr w14:val="tx1"/>
            </w14:solidFill>
          </w14:textFill>
        </w:rPr>
        <w:t>篇  响应文件编制要求</w:t>
      </w:r>
      <w:bookmarkEnd w:id="187"/>
      <w:bookmarkEnd w:id="188"/>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一、经济部分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（一）竞争性谈判报价函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已标价工程量清单及组价文件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二、技术部分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（三）技术响应偏离表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（四）人员要求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三、商务部分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（一）商务要求响应情况：工期要求、实施地点、质量要求及验收方式。（包括但不限于）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（二）商务响应偏离表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（三）其它优惠承诺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四、资格条件及其他</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（一）营业执照（副本）或事业单位法人证书（副本）复印件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组织机构代码证复印件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说明：供应商按“多证合一”登记制度办理营业执照的，组织机构代码证、税务登记证（副本）和社会保险登记证以供应商所提供的法人营业执照（副本）复印件为准。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（三）法定代表人身份证明书（格式）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（四）法定代表人授权委托书（格式）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（五）提供20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（六）书面声明（格式）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（七）税务登记证（副本）复印件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五、其他应提供的资料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（一）中小微企业声明函、监狱企业证明文件、残疾人福利性单位声明函。（非小微企业不提供）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其他与项目有关的资料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89" w:name="_Toc44682708"/>
      <w:r>
        <w:rPr>
          <w:rFonts w:hint="eastAsia" w:ascii="方正仿宋_GBK" w:hAnsi="方正仿宋_GBK" w:eastAsia="方正仿宋_GBK" w:cs="方正仿宋_GBK"/>
          <w:b/>
          <w:color w:val="000000" w:themeColor="text1"/>
          <w:sz w:val="24"/>
          <w:szCs w:val="24"/>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90" w:name="_Toc7796"/>
      <w:r>
        <w:rPr>
          <w:rFonts w:hint="eastAsia" w:ascii="方正仿宋_GBK" w:hAnsi="方正仿宋_GBK" w:eastAsia="方正仿宋_GBK" w:cs="方正仿宋_GBK"/>
          <w:b/>
          <w:color w:val="000000" w:themeColor="text1"/>
          <w:sz w:val="24"/>
          <w:szCs w:val="24"/>
          <w14:textFill>
            <w14:solidFill>
              <w14:schemeClr w14:val="tx1"/>
            </w14:solidFill>
          </w14:textFill>
        </w:rPr>
        <w:t>一、经济部分</w:t>
      </w:r>
      <w:bookmarkEnd w:id="189"/>
      <w:bookmarkEnd w:id="190"/>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（一）竞争性谈判报价函</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91" w:name="_Toc21373"/>
      <w:bookmarkStart w:id="192" w:name="_Toc1728"/>
      <w:bookmarkStart w:id="193" w:name="_Toc17862"/>
      <w:r>
        <w:rPr>
          <w:rFonts w:hint="eastAsia" w:ascii="方正仿宋_GBK" w:hAnsi="方正仿宋_GBK" w:eastAsia="方正仿宋_GBK" w:cs="方正仿宋_GBK"/>
          <w:color w:val="000000" w:themeColor="text1"/>
          <w:sz w:val="24"/>
          <w:szCs w:val="24"/>
          <w14:textFill>
            <w14:solidFill>
              <w14:schemeClr w14:val="tx1"/>
            </w14:solidFill>
          </w14:textFill>
        </w:rPr>
        <w:t>竞争性报价函</w:t>
      </w:r>
      <w:bookmarkEnd w:id="191"/>
      <w:bookmarkEnd w:id="192"/>
      <w:bookmarkEnd w:id="193"/>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（采购人名称）</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我方收到____________________________（谈判项目名称）及_____________（项目</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编</w:t>
      </w:r>
      <w:r>
        <w:rPr>
          <w:rFonts w:hint="eastAsia" w:ascii="方正仿宋_GBK" w:hAnsi="方正仿宋_GBK" w:eastAsia="方正仿宋_GBK" w:cs="方正仿宋_GBK"/>
          <w:color w:val="000000" w:themeColor="text1"/>
          <w:sz w:val="24"/>
          <w:szCs w:val="24"/>
          <w14:textFill>
            <w14:solidFill>
              <w14:schemeClr w14:val="tx1"/>
            </w14:solidFill>
          </w14:textFill>
        </w:rPr>
        <w:t>号）的竞争性谈判文件，经详细研究，决定参加该谈判项目的竞争谈判。</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1、愿意按照竞争性谈判文件中的一切要求，提供本项目的技术服务，初始报价为人民币大写：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人民币小写：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其中安全文明施工费暂定金额为人民</w:t>
      </w:r>
      <w:r>
        <w:rPr>
          <w:rFonts w:hint="eastAsia" w:ascii="方正仿宋_GBK" w:hAnsi="方正仿宋_GBK" w:eastAsia="方正仿宋_GBK" w:cs="方正仿宋_GBK"/>
          <w:caps w:val="0"/>
          <w:smallCaps w:val="0"/>
          <w:snapToGrid w:val="0"/>
          <w:color w:val="000000" w:themeColor="text1"/>
          <w:sz w:val="24"/>
          <w:szCs w:val="24"/>
          <w:lang w:eastAsia="zh-CN"/>
          <w14:textFill>
            <w14:solidFill>
              <w14:schemeClr w14:val="tx1"/>
            </w14:solidFill>
          </w14:textFill>
        </w:rPr>
        <w:t>币</w:t>
      </w:r>
      <w:r>
        <w:rPr>
          <w:rFonts w:hint="eastAsia" w:ascii="方正仿宋_GBK" w:hAnsi="方正仿宋_GBK" w:eastAsia="方正仿宋_GBK" w:cs="方正仿宋_GBK"/>
          <w:caps w:val="0"/>
          <w:smallCaps w:val="0"/>
          <w:snapToGrid w:val="0"/>
          <w:color w:val="000000" w:themeColor="text1"/>
          <w:sz w:val="24"/>
          <w:szCs w:val="24"/>
          <w:u w:val="single"/>
          <w:lang w:eastAsia="zh-CN"/>
          <w14:textFill>
            <w14:solidFill>
              <w14:schemeClr w14:val="tx1"/>
            </w14:solidFill>
          </w14:textFill>
        </w:rPr>
        <w:t xml:space="preserve">       </w:t>
      </w:r>
      <w:r>
        <w:rPr>
          <w:rFonts w:hint="eastAsia" w:ascii="方正仿宋_GBK" w:hAnsi="方正仿宋_GBK" w:eastAsia="方正仿宋_GBK" w:cs="方正仿宋_GBK"/>
          <w:caps w:val="0"/>
          <w:smallCaps w:val="0"/>
          <w:snapToGrid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该工程项目经理为</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___________</w:t>
      </w:r>
      <w:r>
        <w:rPr>
          <w:rFonts w:hint="eastAsia" w:ascii="方正仿宋_GBK" w:hAnsi="方正仿宋_GBK" w:eastAsia="方正仿宋_GBK" w:cs="方正仿宋_GBK"/>
          <w:color w:val="000000" w:themeColor="text1"/>
          <w:sz w:val="24"/>
          <w:szCs w:val="24"/>
          <w14:textFill>
            <w14:solidFill>
              <w14:schemeClr w14:val="tx1"/>
            </w14:solidFill>
          </w14:textFill>
        </w:rPr>
        <w:t>。工期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w:t>
      </w:r>
      <w:r>
        <w:rPr>
          <w:rFonts w:hint="eastAsia" w:ascii="方正仿宋_GBK" w:hAnsi="方正仿宋_GBK" w:eastAsia="方正仿宋_GBK" w:cs="方正仿宋_GBK"/>
          <w:color w:val="000000" w:themeColor="text1"/>
          <w:sz w:val="24"/>
          <w:szCs w:val="24"/>
          <w14:textFill>
            <w14:solidFill>
              <w14:schemeClr w14:val="tx1"/>
            </w14:solidFill>
          </w14:textFill>
        </w:rPr>
        <w:t>日历天</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按合同约定实施和完成承包工程，修补工程中的任何缺陷，工程质量达到</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______</w:t>
      </w:r>
      <w:r>
        <w:rPr>
          <w:rFonts w:hint="eastAsia" w:ascii="方正仿宋_GBK" w:hAnsi="方正仿宋_GBK" w:eastAsia="方正仿宋_GBK" w:cs="方正仿宋_GBK"/>
          <w:color w:val="000000" w:themeColor="text1"/>
          <w:sz w:val="24"/>
          <w:szCs w:val="24"/>
          <w14:textFill>
            <w14:solidFill>
              <w14:schemeClr w14:val="tx1"/>
            </w14:solidFill>
          </w14:textFill>
        </w:rPr>
        <w:t>。以我公司最后报价为准。</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2、我方现提交的响应文件为：响应文件正本</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份，副本</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份</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，电子文档</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___份。</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3、我方承诺：本次谈判的有效期为90天。</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4、我方完全理解和接受贵方竞争性谈判文件的一切规定和要求及评审办法。</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5、在整个竞争性谈判过程中，我方若有违规行为，接受按照《中华人民共和国政府采购法》及其实施条例等规定给予惩罚。</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6、我方若成为成交供应商，将按照最终谈判结果签订合同，并且严格履行合同义务。本承诺函将成为合同不可分割的一部分，与合同具有同等的法律效力。</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7、我方理解，最低报价不是成交的唯一条件。</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8、我方同意按竞争性谈判文件规定，交纳竞争性谈判文件要求的谈判保证金。</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9、我方未为采购项目提供整体设计、规范编制或者项目管理、监理、检测等服务。</w:t>
      </w:r>
    </w:p>
    <w:p>
      <w:pPr>
        <w:pStyle w:val="2"/>
        <w:keepNext w:val="0"/>
        <w:keepLines w:val="0"/>
        <w:pageBreakBefore w:val="0"/>
        <w:widowControl w:val="0"/>
        <w:kinsoku/>
        <w:wordWrap/>
        <w:overflowPunct/>
        <w:topLinePunct w:val="0"/>
        <w:autoSpaceDE/>
        <w:autoSpaceDN/>
        <w:bidi w:val="0"/>
        <w:adjustRightInd/>
        <w:spacing w:line="440" w:lineRule="exact"/>
        <w:textAlignment w:val="auto"/>
        <w:rPr>
          <w:rFonts w:hint="eastAsia" w:ascii="方正仿宋_GBK" w:hAnsi="方正仿宋_GBK" w:eastAsia="方正仿宋_GBK" w:cs="方正仿宋_GBK"/>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Cs w:val="22"/>
          <w14:textFill>
            <w14:solidFill>
              <w14:schemeClr w14:val="tx1"/>
            </w14:solidFill>
          </w14:textFill>
        </w:rPr>
        <w:t>若我方成为成交供应商，同意按照本采购文件规定缴纳代理服务费。</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57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供应商（公章）：</w:t>
      </w: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p>
    <w:p>
      <w:pPr>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br w:type="page"/>
      </w: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已标价工程量清单</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及组价文件</w:t>
      </w: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注：各供应商应结合自身实力、市场行情自主合理报价（格式自定）。</w:t>
      </w:r>
    </w:p>
    <w:p>
      <w:pPr>
        <w:pStyle w:val="6"/>
        <w:numPr>
          <w:ilvl w:val="0"/>
          <w:numId w:val="0"/>
        </w:numPr>
        <w:ind w:leftChars="200"/>
        <w:rPr>
          <w:rFonts w:hint="eastAsia" w:ascii="方正仿宋_GBK" w:hAnsi="方正仿宋_GBK" w:eastAsia="方正仿宋_GBK" w:cs="方正仿宋_GBK"/>
          <w:color w:val="000000" w:themeColor="text1"/>
          <w:lang w:eastAsia="zh-CN"/>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94" w:name="_Toc485108797"/>
      <w:bookmarkStart w:id="195" w:name="_Toc480979019"/>
      <w:bookmarkStart w:id="196" w:name="_Toc44682709"/>
      <w:bookmarkStart w:id="197" w:name="_Toc25686"/>
      <w:bookmarkStart w:id="198" w:name="_Toc342913420"/>
      <w:bookmarkStart w:id="199" w:name="_Toc313008357"/>
      <w:bookmarkStart w:id="200" w:name="_Toc313888361"/>
      <w:r>
        <w:rPr>
          <w:rFonts w:hint="eastAsia" w:ascii="方正仿宋_GBK" w:hAnsi="方正仿宋_GBK" w:eastAsia="方正仿宋_GBK" w:cs="方正仿宋_GBK"/>
          <w:b/>
          <w:color w:val="000000" w:themeColor="text1"/>
          <w:sz w:val="24"/>
          <w:szCs w:val="24"/>
          <w14:textFill>
            <w14:solidFill>
              <w14:schemeClr w14:val="tx1"/>
            </w14:solidFill>
          </w14:textFill>
        </w:rPr>
        <w:t>二、技术部分</w:t>
      </w:r>
      <w:bookmarkEnd w:id="194"/>
      <w:bookmarkEnd w:id="195"/>
      <w:bookmarkEnd w:id="196"/>
      <w:bookmarkEnd w:id="197"/>
    </w:p>
    <w:p>
      <w:pPr>
        <w:rPr>
          <w:rFonts w:hint="eastAsia" w:ascii="方正仿宋_GBK" w:hAnsi="方正仿宋_GBK" w:eastAsia="方正仿宋_GBK" w:cs="方正仿宋_GBK"/>
          <w:color w:val="000000" w:themeColor="text1"/>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Cs w:val="24"/>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（三）技术响应偏离表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01" w:name="_Toc14841"/>
      <w:bookmarkStart w:id="202" w:name="_Toc28110"/>
      <w:bookmarkStart w:id="203" w:name="_Toc1097"/>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bookmarkEnd w:id="201"/>
      <w:bookmarkEnd w:id="202"/>
      <w:bookmarkEnd w:id="20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bidi w:val="0"/>
              <w:jc w:val="center"/>
              <w:rPr>
                <w:rFonts w:hint="eastAsia" w:ascii="方正仿宋_GBK" w:hAnsi="方正仿宋_GBK" w:eastAsia="方正仿宋_GBK" w:cs="方正仿宋_GBK"/>
                <w:color w:val="000000" w:themeColor="text1"/>
                <w14:textFill>
                  <w14:solidFill>
                    <w14:schemeClr w14:val="tx1"/>
                  </w14:solidFill>
                </w14:textFill>
              </w:rPr>
            </w:pPr>
            <w:bookmarkStart w:id="204" w:name="_Toc16256"/>
            <w:bookmarkStart w:id="205" w:name="_Toc2754"/>
            <w:bookmarkStart w:id="206" w:name="_Toc17175"/>
            <w:r>
              <w:rPr>
                <w:rFonts w:hint="eastAsia" w:ascii="方正仿宋_GBK" w:hAnsi="方正仿宋_GBK" w:eastAsia="方正仿宋_GBK" w:cs="方正仿宋_GBK"/>
                <w:color w:val="000000" w:themeColor="text1"/>
                <w:sz w:val="24"/>
                <w:szCs w:val="24"/>
                <w14:textFill>
                  <w14:solidFill>
                    <w14:schemeClr w14:val="tx1"/>
                  </w14:solidFill>
                </w14:textFill>
              </w:rPr>
              <w:t>序号</w:t>
            </w:r>
            <w:bookmarkEnd w:id="204"/>
            <w:bookmarkEnd w:id="205"/>
            <w:bookmarkEnd w:id="206"/>
          </w:p>
        </w:tc>
        <w:tc>
          <w:tcPr>
            <w:tcW w:w="2658"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07" w:name="_Toc30887"/>
            <w:bookmarkStart w:id="208" w:name="_Toc32436"/>
            <w:bookmarkStart w:id="209" w:name="_Toc16272"/>
            <w:r>
              <w:rPr>
                <w:rFonts w:hint="eastAsia" w:ascii="方正仿宋_GBK" w:hAnsi="方正仿宋_GBK" w:eastAsia="方正仿宋_GBK" w:cs="方正仿宋_GBK"/>
                <w:color w:val="000000" w:themeColor="text1"/>
                <w:sz w:val="24"/>
                <w:szCs w:val="24"/>
                <w14:textFill>
                  <w14:solidFill>
                    <w14:schemeClr w14:val="tx1"/>
                  </w14:solidFill>
                </w14:textFill>
              </w:rPr>
              <w:t>采购需求</w:t>
            </w:r>
            <w:bookmarkEnd w:id="207"/>
            <w:bookmarkEnd w:id="208"/>
            <w:bookmarkEnd w:id="209"/>
          </w:p>
        </w:tc>
        <w:tc>
          <w:tcPr>
            <w:tcW w:w="2759"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10" w:name="_Toc25133"/>
            <w:bookmarkStart w:id="211" w:name="_Toc4665"/>
            <w:bookmarkStart w:id="212" w:name="_Toc16914"/>
            <w:r>
              <w:rPr>
                <w:rFonts w:hint="eastAsia" w:ascii="方正仿宋_GBK" w:hAnsi="方正仿宋_GBK" w:eastAsia="方正仿宋_GBK" w:cs="方正仿宋_GBK"/>
                <w:color w:val="000000" w:themeColor="text1"/>
                <w:sz w:val="24"/>
                <w:szCs w:val="24"/>
                <w14:textFill>
                  <w14:solidFill>
                    <w14:schemeClr w14:val="tx1"/>
                  </w14:solidFill>
                </w14:textFill>
              </w:rPr>
              <w:t>响应情况</w:t>
            </w:r>
            <w:bookmarkEnd w:id="210"/>
            <w:bookmarkEnd w:id="211"/>
            <w:bookmarkEnd w:id="212"/>
          </w:p>
        </w:tc>
        <w:tc>
          <w:tcPr>
            <w:tcW w:w="2067"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13" w:name="_Toc19448"/>
            <w:bookmarkStart w:id="214" w:name="_Toc9780"/>
            <w:bookmarkStart w:id="215" w:name="_Toc25397"/>
            <w:r>
              <w:rPr>
                <w:rFonts w:hint="eastAsia" w:ascii="方正仿宋_GBK" w:hAnsi="方正仿宋_GBK" w:eastAsia="方正仿宋_GBK" w:cs="方正仿宋_GBK"/>
                <w:color w:val="000000" w:themeColor="text1"/>
                <w:sz w:val="24"/>
                <w:szCs w:val="24"/>
                <w14:textFill>
                  <w14:solidFill>
                    <w14:schemeClr w14:val="tx1"/>
                  </w14:solidFill>
                </w14:textFill>
              </w:rPr>
              <w:t>差异说明</w:t>
            </w:r>
            <w:bookmarkEnd w:id="213"/>
            <w:bookmarkEnd w:id="214"/>
            <w:bookmarkEnd w:id="2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bl>
    <w:p>
      <w:pPr>
        <w:spacing w:line="500" w:lineRule="exact"/>
        <w:ind w:firstLine="600" w:firstLineChars="2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                                      法定代表人授权代表：</w:t>
      </w:r>
    </w:p>
    <w:p>
      <w:pPr>
        <w:spacing w:line="5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spacing w:line="500" w:lineRule="exact"/>
        <w:ind w:firstLine="720" w:firstLineChars="3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该表可</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纵向</w:t>
      </w:r>
      <w:r>
        <w:rPr>
          <w:rFonts w:hint="eastAsia" w:ascii="方正仿宋_GBK" w:hAnsi="方正仿宋_GBK" w:eastAsia="方正仿宋_GBK" w:cs="方正仿宋_GBK"/>
          <w:color w:val="000000" w:themeColor="text1"/>
          <w:sz w:val="24"/>
          <w:szCs w:val="24"/>
          <w14:textFill>
            <w14:solidFill>
              <w14:schemeClr w14:val="tx1"/>
            </w14:solidFill>
          </w14:textFill>
        </w:rPr>
        <w:t>扩展，并逐页签字或盖章；</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可附相关技术支撑材料</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（格式自定）</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若“响应情况”栏中仅填写“无偏离”或“有偏离”等内容而未作实质性参数描述，该供应商将失去成为成交供应商的资格，仅保留其合格供应商的身份。</w:t>
      </w:r>
    </w:p>
    <w:p>
      <w:pP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tabs>
          <w:tab w:val="left" w:pos="6300"/>
        </w:tabs>
        <w:snapToGrid w:val="0"/>
        <w:spacing w:line="500" w:lineRule="exact"/>
        <w:ind w:firstLine="570"/>
        <w:rPr>
          <w:rFonts w:hint="eastAsia" w:ascii="方正仿宋_GBK" w:hAnsi="方正仿宋_GBK" w:eastAsia="方正仿宋_GBK" w:cs="方正仿宋_GBK"/>
          <w:color w:val="000000" w:themeColor="text1"/>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（四）人员要求（按“第三篇  谈判项目技术需求”提供资料）</w:t>
      </w:r>
    </w:p>
    <w:p>
      <w:pPr>
        <w:autoSpaceDE w:val="0"/>
        <w:autoSpaceDN w:val="0"/>
        <w:adjustRightInd w:val="0"/>
        <w:snapToGrid w:val="0"/>
        <w:spacing w:line="360" w:lineRule="auto"/>
        <w:jc w:val="center"/>
        <w:rPr>
          <w:rFonts w:hint="eastAsia" w:ascii="方正仿宋_GBK" w:hAnsi="方正仿宋_GBK" w:eastAsia="方正仿宋_GBK" w:cs="方正仿宋_GBK"/>
          <w:b/>
          <w:color w:val="000000" w:themeColor="text1"/>
          <w:kern w:val="0"/>
          <w:sz w:val="24"/>
          <w14:textFill>
            <w14:solidFill>
              <w14:schemeClr w14:val="tx1"/>
            </w14:solidFill>
          </w14:textFill>
        </w:rPr>
      </w:pPr>
      <w:r>
        <w:rPr>
          <w:rFonts w:hint="eastAsia" w:ascii="方正仿宋_GBK" w:hAnsi="方正仿宋_GBK" w:eastAsia="方正仿宋_GBK" w:cs="方正仿宋_GBK"/>
          <w:b/>
          <w:color w:val="000000" w:themeColor="text1"/>
          <w:kern w:val="0"/>
          <w:sz w:val="24"/>
          <w14:textFill>
            <w14:solidFill>
              <w14:schemeClr w14:val="tx1"/>
            </w14:solidFill>
          </w14:textFill>
        </w:rPr>
        <w:t>项目管理机构组成表</w:t>
      </w:r>
    </w:p>
    <w:tbl>
      <w:tblPr>
        <w:tblStyle w:val="18"/>
        <w:tblW w:w="0" w:type="auto"/>
        <w:jc w:val="center"/>
        <w:tblLayout w:type="fixed"/>
        <w:tblCellMar>
          <w:top w:w="0" w:type="dxa"/>
          <w:left w:w="0" w:type="dxa"/>
          <w:bottom w:w="0" w:type="dxa"/>
          <w:right w:w="0" w:type="dxa"/>
        </w:tblCellMar>
      </w:tblPr>
      <w:tblGrid>
        <w:gridCol w:w="647"/>
        <w:gridCol w:w="721"/>
        <w:gridCol w:w="719"/>
        <w:gridCol w:w="1081"/>
        <w:gridCol w:w="719"/>
        <w:gridCol w:w="721"/>
        <w:gridCol w:w="719"/>
        <w:gridCol w:w="2524"/>
        <w:gridCol w:w="672"/>
      </w:tblGrid>
      <w:tr>
        <w:trPr>
          <w:cantSplit/>
          <w:trHeight w:val="450" w:hRule="exact"/>
          <w:jc w:val="center"/>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职务</w:t>
            </w:r>
          </w:p>
        </w:tc>
        <w:tc>
          <w:tcPr>
            <w:tcW w:w="721"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姓名</w:t>
            </w:r>
          </w:p>
        </w:tc>
        <w:tc>
          <w:tcPr>
            <w:tcW w:w="719"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职称</w:t>
            </w:r>
          </w:p>
        </w:tc>
        <w:tc>
          <w:tcPr>
            <w:tcW w:w="5764"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执业或职业资格证明</w:t>
            </w:r>
          </w:p>
        </w:tc>
        <w:tc>
          <w:tcPr>
            <w:tcW w:w="672" w:type="dxa"/>
            <w:vMerge w:val="restart"/>
            <w:tcBorders>
              <w:top w:val="single" w:color="000000" w:sz="4" w:space="0"/>
              <w:left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备注</w:t>
            </w:r>
          </w:p>
        </w:tc>
      </w:tr>
      <w:tr>
        <w:tblPrEx>
          <w:tblCellMar>
            <w:top w:w="0" w:type="dxa"/>
            <w:left w:w="0" w:type="dxa"/>
            <w:bottom w:w="0" w:type="dxa"/>
            <w:right w:w="0" w:type="dxa"/>
          </w:tblCellMar>
        </w:tblPrEx>
        <w:trPr>
          <w:cantSplit/>
          <w:trHeight w:val="957" w:hRule="exac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证书名称</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级别</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证号</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专业</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养老保险</w:t>
            </w:r>
          </w:p>
        </w:tc>
        <w:tc>
          <w:tcPr>
            <w:tcW w:w="672" w:type="dxa"/>
            <w:vMerge w:val="continue"/>
            <w:tcBorders>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216" w:name="_Toc485108798"/>
      <w:bookmarkStart w:id="217" w:name="_Toc44682710"/>
      <w:bookmarkStart w:id="218" w:name="_Toc480979020"/>
      <w:bookmarkStart w:id="219" w:name="_Toc22028"/>
      <w:r>
        <w:rPr>
          <w:rFonts w:hint="eastAsia" w:ascii="方正仿宋_GBK" w:hAnsi="方正仿宋_GBK" w:eastAsia="方正仿宋_GBK" w:cs="方正仿宋_GBK"/>
          <w:b/>
          <w:color w:val="000000" w:themeColor="text1"/>
          <w:sz w:val="24"/>
          <w:szCs w:val="24"/>
          <w14:textFill>
            <w14:solidFill>
              <w14:schemeClr w14:val="tx1"/>
            </w14:solidFill>
          </w14:textFill>
        </w:rPr>
        <w:t>三、</w:t>
      </w:r>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b/>
          <w:color w:val="000000" w:themeColor="text1"/>
          <w:sz w:val="24"/>
          <w:szCs w:val="24"/>
          <w14:textFill>
            <w14:solidFill>
              <w14:schemeClr w14:val="tx1"/>
            </w14:solidFill>
          </w14:textFill>
        </w:rPr>
        <w:t>部分</w:t>
      </w:r>
      <w:bookmarkEnd w:id="216"/>
      <w:bookmarkEnd w:id="217"/>
      <w:bookmarkEnd w:id="218"/>
      <w:bookmarkEnd w:id="219"/>
    </w:p>
    <w:p>
      <w:pPr>
        <w:numPr>
          <w:ilvl w:val="0"/>
          <w:numId w:val="4"/>
        </w:num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要求响应情况：工期要求、实施地点、质量要求及验收方式。（包括但不限于）</w:t>
      </w:r>
    </w:p>
    <w:p>
      <w:pPr>
        <w:snapToGrid w:val="0"/>
        <w:spacing w:line="360" w:lineRule="auto"/>
        <w:ind w:firstLine="562" w:firstLineChars="200"/>
        <w:rPr>
          <w:rFonts w:hint="eastAsia" w:ascii="方正仿宋_GBK" w:hAnsi="方正仿宋_GBK" w:eastAsia="方正仿宋_GBK" w:cs="方正仿宋_GBK"/>
          <w:b/>
          <w:color w:val="000000" w:themeColor="text1"/>
          <w14:textFill>
            <w14:solidFill>
              <w14:schemeClr w14:val="tx1"/>
            </w14:solidFill>
          </w14:textFill>
        </w:rPr>
        <w:sectPr>
          <w:footerReference r:id="rId6" w:type="default"/>
          <w:pgSz w:w="11907" w:h="16840"/>
          <w:pgMar w:top="1134" w:right="1191" w:bottom="1077" w:left="1304" w:header="851" w:footer="794" w:gutter="0"/>
          <w:pgNumType w:fmt="decimal"/>
          <w:cols w:space="720" w:num="1"/>
          <w:docGrid w:linePitch="380" w:charSpace="-5735"/>
        </w:sect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响应偏离表</w:t>
      </w:r>
    </w:p>
    <w:p>
      <w:pPr>
        <w:snapToGrid w:val="0"/>
        <w:spacing w:line="360" w:lineRule="auto"/>
        <w:jc w:val="center"/>
        <w:rPr>
          <w:rFonts w:hint="eastAsia" w:ascii="方正仿宋_GBK" w:hAnsi="方正仿宋_GBK" w:eastAsia="方正仿宋_GBK" w:cs="方正仿宋_GBK"/>
          <w:b/>
          <w:color w:val="000000" w:themeColor="text1"/>
          <w:sz w:val="24"/>
          <w:szCs w:val="24"/>
          <w14:textFill>
            <w14:solidFill>
              <w14:schemeClr w14:val="tx1"/>
            </w14:solidFill>
          </w14:textFill>
        </w:rPr>
      </w:pPr>
      <w:r>
        <w:rPr>
          <w:rFonts w:hint="eastAsia" w:ascii="方正仿宋_GBK" w:hAnsi="方正仿宋_GBK" w:eastAsia="方正仿宋_GBK" w:cs="方正仿宋_GBK"/>
          <w:b/>
          <w:color w:val="000000" w:themeColor="text1"/>
          <w:sz w:val="24"/>
          <w:szCs w:val="24"/>
          <w14:textFill>
            <w14:solidFill>
              <w14:schemeClr w14:val="tx1"/>
            </w14:solidFill>
          </w14:textFill>
        </w:rPr>
        <w:t>商务响应偏离表（本表可自行设计格式）</w:t>
      </w:r>
    </w:p>
    <w:p>
      <w:pPr>
        <w:snapToGrid w:val="0"/>
        <w:spacing w:line="360" w:lineRule="auto"/>
        <w:ind w:firstLine="465"/>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对于竞争性谈判文件的服务要求，如有任何偏离请如实填写下表：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3" w:hRule="atLeast"/>
        </w:trPr>
        <w:tc>
          <w:tcPr>
            <w:tcW w:w="1510"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0" w:name="_Toc5556"/>
            <w:bookmarkStart w:id="221" w:name="_Toc20085"/>
            <w:bookmarkStart w:id="222" w:name="_Toc750"/>
            <w:r>
              <w:rPr>
                <w:rFonts w:hint="eastAsia" w:ascii="方正仿宋_GBK" w:hAnsi="方正仿宋_GBK" w:eastAsia="方正仿宋_GBK" w:cs="方正仿宋_GBK"/>
                <w:color w:val="000000" w:themeColor="text1"/>
                <w:sz w:val="24"/>
                <w:szCs w:val="24"/>
                <w14:textFill>
                  <w14:solidFill>
                    <w14:schemeClr w14:val="tx1"/>
                  </w14:solidFill>
                </w14:textFill>
              </w:rPr>
              <w:t>序号</w:t>
            </w:r>
            <w:bookmarkEnd w:id="220"/>
            <w:bookmarkEnd w:id="221"/>
            <w:bookmarkEnd w:id="222"/>
          </w:p>
        </w:tc>
        <w:tc>
          <w:tcPr>
            <w:tcW w:w="3179"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3" w:name="_Toc13500"/>
            <w:bookmarkStart w:id="224" w:name="_Toc10523"/>
            <w:bookmarkStart w:id="225" w:name="_Toc28345"/>
            <w:r>
              <w:rPr>
                <w:rFonts w:hint="eastAsia" w:ascii="方正仿宋_GBK" w:hAnsi="方正仿宋_GBK" w:eastAsia="方正仿宋_GBK" w:cs="方正仿宋_GBK"/>
                <w:color w:val="000000" w:themeColor="text1"/>
                <w:sz w:val="24"/>
                <w:szCs w:val="24"/>
                <w14:textFill>
                  <w14:solidFill>
                    <w14:schemeClr w14:val="tx1"/>
                  </w14:solidFill>
                </w14:textFill>
              </w:rPr>
              <w:t>谈判项目需求</w:t>
            </w:r>
            <w:bookmarkEnd w:id="223"/>
            <w:bookmarkEnd w:id="224"/>
            <w:bookmarkEnd w:id="225"/>
          </w:p>
        </w:tc>
        <w:tc>
          <w:tcPr>
            <w:tcW w:w="2434"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6" w:name="_Toc14895"/>
            <w:bookmarkStart w:id="227" w:name="_Toc27330"/>
            <w:bookmarkStart w:id="228" w:name="_Toc27876"/>
            <w:r>
              <w:rPr>
                <w:rFonts w:hint="eastAsia" w:ascii="方正仿宋_GBK" w:hAnsi="方正仿宋_GBK" w:eastAsia="方正仿宋_GBK" w:cs="方正仿宋_GBK"/>
                <w:color w:val="000000" w:themeColor="text1"/>
                <w:sz w:val="24"/>
                <w:szCs w:val="24"/>
                <w14:textFill>
                  <w14:solidFill>
                    <w14:schemeClr w14:val="tx1"/>
                  </w14:solidFill>
                </w14:textFill>
              </w:rPr>
              <w:t>响应情况</w:t>
            </w:r>
            <w:bookmarkEnd w:id="226"/>
            <w:bookmarkEnd w:id="227"/>
            <w:bookmarkEnd w:id="228"/>
          </w:p>
        </w:tc>
        <w:tc>
          <w:tcPr>
            <w:tcW w:w="2355"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9" w:name="_Toc9000"/>
            <w:bookmarkStart w:id="230" w:name="_Toc13157"/>
            <w:bookmarkStart w:id="231" w:name="_Toc2358"/>
            <w:r>
              <w:rPr>
                <w:rFonts w:hint="eastAsia" w:ascii="方正仿宋_GBK" w:hAnsi="方正仿宋_GBK" w:eastAsia="方正仿宋_GBK" w:cs="方正仿宋_GBK"/>
                <w:color w:val="000000" w:themeColor="text1"/>
                <w:sz w:val="24"/>
                <w:szCs w:val="24"/>
                <w14:textFill>
                  <w14:solidFill>
                    <w14:schemeClr w14:val="tx1"/>
                  </w14:solidFill>
                </w14:textFill>
              </w:rPr>
              <w:t>偏离说明</w:t>
            </w:r>
            <w:bookmarkEnd w:id="229"/>
            <w:bookmarkEnd w:id="230"/>
            <w:bookmarkEnd w:id="2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bl>
    <w:p>
      <w:pPr>
        <w:snapToGrid w:val="0"/>
        <w:spacing w:line="360" w:lineRule="auto"/>
        <w:ind w:firstLine="465"/>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500" w:lineRule="exact"/>
        <w:ind w:firstLine="600" w:firstLineChars="2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                                      法定代表人授权代表：</w:t>
      </w:r>
    </w:p>
    <w:p>
      <w:pPr>
        <w:spacing w:line="5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spacing w:line="500" w:lineRule="exact"/>
        <w:ind w:firstLine="360" w:firstLineChars="1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本表即为对本项目“第四篇 谈判项目</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该表可</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纵向</w:t>
      </w:r>
      <w:r>
        <w:rPr>
          <w:rFonts w:hint="eastAsia" w:ascii="方正仿宋_GBK" w:hAnsi="方正仿宋_GBK" w:eastAsia="方正仿宋_GBK" w:cs="方正仿宋_GBK"/>
          <w:color w:val="000000" w:themeColor="text1"/>
          <w:sz w:val="24"/>
          <w:szCs w:val="24"/>
          <w14:textFill>
            <w14:solidFill>
              <w14:schemeClr w14:val="tx1"/>
            </w14:solidFill>
          </w14:textFill>
        </w:rPr>
        <w:t>扩展，并逐页签字或盖章</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Style w:val="7"/>
        <w:rPr>
          <w:rFonts w:hint="eastAsia" w:ascii="方正仿宋_GBK" w:hAnsi="方正仿宋_GBK" w:eastAsia="方正仿宋_GBK" w:cs="方正仿宋_GBK"/>
          <w:color w:val="000000" w:themeColor="text1"/>
          <w:lang w:eastAsia="zh-CN"/>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（三）其它优惠承诺（格式自定）</w:t>
      </w: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bookmarkEnd w:id="198"/>
    <w:bookmarkEnd w:id="199"/>
    <w:bookmarkEnd w:id="200"/>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32" w:name="_Toc313008359"/>
      <w:bookmarkStart w:id="233" w:name="_Toc5255"/>
      <w:bookmarkStart w:id="234" w:name="_Toc44682711"/>
      <w:bookmarkStart w:id="235" w:name="_Toc313888363"/>
      <w:bookmarkStart w:id="236" w:name="_Toc342913422"/>
      <w:r>
        <w:rPr>
          <w:rFonts w:hint="eastAsia" w:ascii="方正仿宋_GBK" w:hAnsi="方正仿宋_GBK" w:eastAsia="方正仿宋_GBK" w:cs="方正仿宋_GBK"/>
          <w:color w:val="000000" w:themeColor="text1"/>
          <w:sz w:val="24"/>
          <w:szCs w:val="24"/>
          <w14:textFill>
            <w14:solidFill>
              <w14:schemeClr w14:val="tx1"/>
            </w14:solidFill>
          </w14:textFill>
        </w:rPr>
        <w:t>四、资格条件及其他</w:t>
      </w:r>
      <w:bookmarkEnd w:id="232"/>
      <w:bookmarkEnd w:id="233"/>
      <w:bookmarkEnd w:id="234"/>
      <w:bookmarkEnd w:id="235"/>
      <w:bookmarkEnd w:id="236"/>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（一）营业执照（副本）或事业单位法人证书（副本）复印件</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（二）组织机构代码证复印件</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w:t>
      </w:r>
      <w:r>
        <w:rPr>
          <w:rFonts w:hint="eastAsia" w:ascii="方正仿宋_GBK" w:hAnsi="方正仿宋_GBK" w:eastAsia="方正仿宋_GBK" w:cs="方正仿宋_GBK"/>
          <w:color w:val="000000" w:themeColor="text1"/>
          <w:kern w:val="0"/>
          <w:sz w:val="24"/>
          <w:szCs w:val="24"/>
          <w14:textFill>
            <w14:solidFill>
              <w14:schemeClr w14:val="tx1"/>
            </w14:solidFill>
          </w14:textFill>
        </w:rPr>
        <w:t>组织机构代码证、税务登记证（副本）和社会保险登记证</w:t>
      </w:r>
      <w:r>
        <w:rPr>
          <w:rFonts w:hint="eastAsia" w:ascii="方正仿宋_GBK" w:hAnsi="方正仿宋_GBK" w:eastAsia="方正仿宋_GBK" w:cs="方正仿宋_GBK"/>
          <w:color w:val="000000" w:themeColor="text1"/>
          <w:sz w:val="24"/>
          <w:szCs w:val="24"/>
          <w14:textFill>
            <w14:solidFill>
              <w14:schemeClr w14:val="tx1"/>
            </w14:solidFill>
          </w14:textFill>
        </w:rPr>
        <w:t>以供应商所提供的营业执照（副本）复印件为准。</w:t>
      </w:r>
    </w:p>
    <w:p>
      <w:pPr>
        <w:tabs>
          <w:tab w:val="left" w:pos="6300"/>
        </w:tabs>
        <w:snapToGrid w:val="0"/>
        <w:spacing w:line="500" w:lineRule="exact"/>
        <w:ind w:firstLine="570"/>
        <w:jc w:val="left"/>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14:textFill>
            <w14:solidFill>
              <w14:schemeClr w14:val="tx1"/>
            </w14:solidFill>
          </w14:textFill>
        </w:rPr>
      </w:pPr>
    </w:p>
    <w:p>
      <w:pPr>
        <w:widowControl/>
        <w:ind w:firstLine="560" w:firstLineChars="200"/>
        <w:jc w:val="lef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（三）法定代表人身份证明书（格式）</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（法定代表人姓名）在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（供应商名称）任</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（职务名称）职务，是（供应商名称）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的法定代表人。</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特此证明。</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（供应商公章）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（附：法定代表人身份证正反面复印件）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br w:type="column"/>
      </w:r>
      <w:r>
        <w:rPr>
          <w:rFonts w:hint="eastAsia" w:ascii="方正仿宋_GBK" w:hAnsi="方正仿宋_GBK" w:eastAsia="方正仿宋_GBK" w:cs="方正仿宋_GBK"/>
          <w:color w:val="000000" w:themeColor="text1"/>
          <w:sz w:val="24"/>
          <w:szCs w:val="24"/>
          <w14:textFill>
            <w14:solidFill>
              <w14:schemeClr w14:val="tx1"/>
            </w14:solidFill>
          </w14:textFill>
        </w:rPr>
        <w:t>（四）法定代表人授权委托书（格式）</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（供应商法定代表人名称）是</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（供应商名称）的法定代表人，特授权</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被授权人：                                 供应商法定代表人：</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（签字或盖章）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（附：被授权人身份证正反面复印件）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w:t>
      </w: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若为法定代表人办理并签署投标文件的，不提供此文件。</w:t>
      </w:r>
    </w:p>
    <w:p>
      <w:pPr>
        <w:jc w:val="cente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若为联合体投标的，法定代表人授权委托书由联合体主办方（主体）出具。</w:t>
      </w:r>
    </w:p>
    <w:p>
      <w:pP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（五）提供20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年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220" w:firstLineChars="115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（六）书面声明</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sz w:val="24"/>
          <w:szCs w:val="28"/>
          <w14:textFill>
            <w14:solidFill>
              <w14:schemeClr w14:val="tx1"/>
            </w14:solidFill>
          </w14:textFill>
        </w:rPr>
        <w:t>项目名称</w:t>
      </w:r>
      <w:r>
        <w:rPr>
          <w:rFonts w:hint="eastAsia" w:ascii="方正仿宋_GBK" w:hAnsi="方正仿宋_GBK" w:eastAsia="方正仿宋_GBK" w:cs="方正仿宋_GBK"/>
          <w:color w:val="000000" w:themeColor="text1"/>
          <w:sz w:val="24"/>
          <w14:textFill>
            <w14:solidFill>
              <w14:schemeClr w14:val="tx1"/>
            </w14:solidFill>
          </w14:textFill>
        </w:rPr>
        <w:t>：</w:t>
      </w:r>
      <w:r>
        <w:rPr>
          <w:rFonts w:hint="eastAsia" w:ascii="方正仿宋_GBK" w:hAnsi="方正仿宋_GBK" w:eastAsia="方正仿宋_GBK" w:cs="方正仿宋_GBK"/>
          <w:color w:val="000000" w:themeColor="text1"/>
          <w:sz w:val="24"/>
          <w:u w:val="single"/>
          <w14:textFill>
            <w14:solidFill>
              <w14:schemeClr w14:val="tx1"/>
            </w14:solidFill>
          </w14:textFill>
        </w:rPr>
        <w:t xml:space="preserve">                                                </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pStyle w:val="22"/>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sz w:val="24"/>
          <w14:textFill>
            <w14:solidFill>
              <w14:schemeClr w14:val="tx1"/>
            </w14:solidFill>
          </w14:textFill>
        </w:rPr>
        <w:t>。</w:t>
      </w: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特此声明。</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right="424"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w:t>
      </w:r>
    </w:p>
    <w:p>
      <w:pPr>
        <w:tabs>
          <w:tab w:val="left" w:pos="6300"/>
        </w:tabs>
        <w:snapToGrid w:val="0"/>
        <w:spacing w:line="360" w:lineRule="auto"/>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numPr>
          <w:ilvl w:val="0"/>
          <w:numId w:val="5"/>
        </w:num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税务登记证（副本）复印件</w:t>
      </w:r>
    </w:p>
    <w:p>
      <w:pPr>
        <w:numPr>
          <w:ilvl w:val="0"/>
          <w:numId w:val="0"/>
        </w:numPr>
        <w:tabs>
          <w:tab w:val="left" w:pos="6300"/>
        </w:tabs>
        <w:snapToGrid w:val="0"/>
        <w:spacing w:line="360" w:lineRule="auto"/>
        <w:ind w:firstLine="720" w:firstLineChars="3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Style w:val="3"/>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（八）缴纳社会保障金的证明材料复印件</w:t>
      </w: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pStyle w:val="3"/>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37" w:name="_Toc14422"/>
      <w:bookmarkStart w:id="238" w:name="_Toc44682712"/>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color w:val="000000" w:themeColor="text1"/>
          <w:sz w:val="24"/>
          <w14:textFill>
            <w14:solidFill>
              <w14:schemeClr w14:val="tx1"/>
            </w14:solidFill>
          </w14:textFill>
        </w:rPr>
      </w:pPr>
      <w:bookmarkStart w:id="239" w:name="_Toc17711"/>
      <w:r>
        <w:rPr>
          <w:rFonts w:hint="eastAsia" w:ascii="方正仿宋_GBK" w:hAnsi="方正仿宋_GBK" w:eastAsia="方正仿宋_GBK" w:cs="方正仿宋_GBK"/>
          <w:color w:val="000000" w:themeColor="text1"/>
          <w:sz w:val="24"/>
          <w:szCs w:val="24"/>
          <w14:textFill>
            <w14:solidFill>
              <w14:schemeClr w14:val="tx1"/>
            </w14:solidFill>
          </w14:textFill>
        </w:rPr>
        <w:t>五、其他应提供的资料</w:t>
      </w:r>
      <w:bookmarkEnd w:id="237"/>
      <w:bookmarkEnd w:id="238"/>
      <w:bookmarkEnd w:id="239"/>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中小微企业声明函、监狱企业证明文件、残疾人福利性单位声明函。</w:t>
      </w:r>
    </w:p>
    <w:p>
      <w:pPr>
        <w:spacing w:line="550" w:lineRule="exact"/>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240" w:name="_Toc8000"/>
      <w:bookmarkStart w:id="241" w:name="_Toc25785"/>
      <w:bookmarkStart w:id="242" w:name="_Toc2718"/>
      <w:r>
        <w:rPr>
          <w:rFonts w:hint="eastAsia" w:ascii="方正仿宋_GBK" w:hAnsi="方正仿宋_GBK" w:eastAsia="方正仿宋_GBK" w:cs="方正仿宋_GBK"/>
          <w:color w:val="000000" w:themeColor="text1"/>
          <w:sz w:val="24"/>
          <w:szCs w:val="22"/>
          <w:lang w:val="en-US" w:eastAsia="zh-CN"/>
          <w14:textFill>
            <w14:solidFill>
              <w14:schemeClr w14:val="tx1"/>
            </w14:solidFill>
          </w14:textFill>
        </w:rPr>
        <w:t>1、中小微企业声明函</w:t>
      </w:r>
      <w:bookmarkEnd w:id="240"/>
      <w:bookmarkEnd w:id="241"/>
      <w:bookmarkEnd w:id="242"/>
    </w:p>
    <w:p>
      <w:pPr>
        <w:spacing w:line="550" w:lineRule="exact"/>
        <w:ind w:firstLine="720" w:firstLineChars="300"/>
        <w:jc w:val="left"/>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中小企业声明函（工程、服务）</w:t>
      </w:r>
    </w:p>
    <w:p>
      <w:pPr>
        <w:spacing w:line="550" w:lineRule="exact"/>
        <w:jc w:val="center"/>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中小企业声明函（工程、服务）</w:t>
      </w:r>
    </w:p>
    <w:p>
      <w:pPr>
        <w:spacing w:line="550" w:lineRule="exact"/>
        <w:rPr>
          <w:rFonts w:hint="eastAsia" w:ascii="方正仿宋_GBK" w:hAnsi="方正仿宋_GBK" w:eastAsia="方正仿宋_GBK" w:cs="方正仿宋_GBK"/>
          <w:color w:val="000000" w:themeColor="text1"/>
          <w:sz w:val="32"/>
          <w14:textFill>
            <w14:solidFill>
              <w14:schemeClr w14:val="tx1"/>
            </w14:solidFill>
          </w14:textFill>
        </w:rPr>
      </w:pP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本公司（联合体）郑重声明，根据《政府采购促进中小企业发展管理办法》（财库【2020】46号）的规定，本公司（联合体）参加</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（单位名称）</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（标的名称）</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（采购文件中明确的所属行业）</w:t>
      </w:r>
      <w:r>
        <w:rPr>
          <w:rFonts w:hint="eastAsia" w:ascii="方正仿宋_GBK" w:hAnsi="方正仿宋_GBK" w:eastAsia="方正仿宋_GBK" w:cs="方正仿宋_GBK"/>
          <w:color w:val="000000" w:themeColor="text1"/>
          <w:sz w:val="24"/>
          <w:szCs w:val="24"/>
          <w14:textFill>
            <w14:solidFill>
              <w14:schemeClr w14:val="tx1"/>
            </w14:solidFill>
          </w14:textFill>
        </w:rPr>
        <w:t>；承建（承接）企业为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（企业名称）</w:t>
      </w:r>
      <w:r>
        <w:rPr>
          <w:rFonts w:hint="eastAsia" w:ascii="方正仿宋_GBK" w:hAnsi="方正仿宋_GBK" w:eastAsia="方正仿宋_GBK" w:cs="方正仿宋_GBK"/>
          <w:color w:val="000000" w:themeColor="text1"/>
          <w:sz w:val="24"/>
          <w:szCs w:val="24"/>
          <w14:textFill>
            <w14:solidFill>
              <w14:schemeClr w14:val="tx1"/>
            </w14:solidFill>
          </w14:textFill>
        </w:rPr>
        <w:t>，从业人员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人，营业收入为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万元，资产总额为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r>
        <w:rPr>
          <w:rFonts w:hint="eastAsia" w:ascii="方正仿宋_GBK" w:hAnsi="方正仿宋_GBK" w:eastAsia="方正仿宋_GBK" w:cs="方正仿宋_GBK"/>
          <w:color w:val="000000" w:themeColor="text1"/>
          <w:spacing w:val="-1"/>
          <w:sz w:val="24"/>
          <w:szCs w:val="24"/>
          <w:vertAlign w:val="superscript"/>
          <w14:textFill>
            <w14:solidFill>
              <w14:schemeClr w14:val="tx1"/>
            </w14:solidFill>
          </w14:textFill>
        </w:rPr>
        <w:t>①</w:t>
      </w:r>
      <w:r>
        <w:rPr>
          <w:rFonts w:hint="eastAsia" w:ascii="方正仿宋_GBK" w:hAnsi="方正仿宋_GBK" w:eastAsia="方正仿宋_GBK" w:cs="方正仿宋_GBK"/>
          <w:color w:val="000000" w:themeColor="text1"/>
          <w:sz w:val="24"/>
          <w:szCs w:val="24"/>
          <w:u w:val="none"/>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（中型企业、小型企业、微型企业）</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（标的名称）</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（采购文件中明确的所属行业）</w:t>
      </w:r>
      <w:r>
        <w:rPr>
          <w:rFonts w:hint="eastAsia" w:ascii="方正仿宋_GBK" w:hAnsi="方正仿宋_GBK" w:eastAsia="方正仿宋_GBK" w:cs="方正仿宋_GBK"/>
          <w:color w:val="000000" w:themeColor="text1"/>
          <w:sz w:val="24"/>
          <w:szCs w:val="24"/>
          <w14:textFill>
            <w14:solidFill>
              <w14:schemeClr w14:val="tx1"/>
            </w14:solidFill>
          </w14:textFill>
        </w:rPr>
        <w:t>；承建（承接）企业为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（企业名称）</w:t>
      </w:r>
      <w:r>
        <w:rPr>
          <w:rFonts w:hint="eastAsia" w:ascii="方正仿宋_GBK" w:hAnsi="方正仿宋_GBK" w:eastAsia="方正仿宋_GBK" w:cs="方正仿宋_GBK"/>
          <w:color w:val="000000" w:themeColor="text1"/>
          <w:sz w:val="24"/>
          <w:szCs w:val="24"/>
          <w14:textFill>
            <w14:solidFill>
              <w14:schemeClr w14:val="tx1"/>
            </w14:solidFill>
          </w14:textFill>
        </w:rPr>
        <w:t>，从业人员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人，营业收入为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万元，资产总额为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（中型企业、小型企业、微型企业）</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 ...</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以上企业，不属于大企业的分支机构，不存在控股股东为大企业的情形，也不存在与大企业的负责人为同一人的情形。</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本企业对上述声明内容的真实性负责。如有虚假，将依法承担相应责任。</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企业名称(盖章):</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3" w:name="_Toc1884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r>
        <w:rPr>
          <w:rFonts w:hint="eastAsia" w:ascii="方正仿宋_GBK" w:hAnsi="方正仿宋_GBK" w:eastAsia="方正仿宋_GBK" w:cs="方正仿宋_GBK"/>
          <w:color w:val="000000" w:themeColor="text1"/>
          <w:sz w:val="24"/>
          <w:szCs w:val="24"/>
          <w14:textFill>
            <w14:solidFill>
              <w14:schemeClr w14:val="tx1"/>
            </w14:solidFill>
          </w14:textFill>
        </w:rPr>
        <w:t>①</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从业人员、营业收入、资产总额填报上一年度数据，无上一年度数据的新成立企业可不填报。</w:t>
      </w:r>
      <w:r>
        <w:rPr>
          <w:rFonts w:hint="eastAsia" w:ascii="方正仿宋_GBK" w:hAnsi="方正仿宋_GBK" w:eastAsia="方正仿宋_GBK" w:cs="方正仿宋_GBK"/>
          <w:color w:val="000000" w:themeColor="text1"/>
          <w:sz w:val="24"/>
          <w:szCs w:val="24"/>
          <w14:textFill>
            <w14:solidFill>
              <w14:schemeClr w14:val="tx1"/>
            </w14:solidFill>
          </w14:textFill>
        </w:rPr>
        <w:br w:type="page"/>
      </w:r>
      <w:bookmarkEnd w:id="2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4" w:name="_Toc32540"/>
      <w:bookmarkStart w:id="245" w:name="_Toc6014"/>
      <w:bookmarkStart w:id="246" w:name="_Toc9520"/>
      <w:r>
        <w:rPr>
          <w:rFonts w:hint="eastAsia" w:ascii="方正仿宋_GBK" w:hAnsi="方正仿宋_GBK" w:eastAsia="方正仿宋_GBK" w:cs="方正仿宋_GBK"/>
          <w:color w:val="000000" w:themeColor="text1"/>
          <w:sz w:val="24"/>
          <w:szCs w:val="24"/>
          <w14:textFill>
            <w14:solidFill>
              <w14:schemeClr w14:val="tx1"/>
            </w14:solidFill>
          </w14:textFill>
        </w:rPr>
        <w:t>《中小企业声明函》填写时应注意以下事项：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①从业人员、营业收入、资产总额填报上一年度数据，无上一年度数据的新成立企业可不填报。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②中小企业应当按照《中小企业划型标准规定》（工信部联企业〔2011〕300号），如实填写并提交《中小企业声明函》。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③投标人填写《中小企业声明函》中所属行业时，应与采购文件第一篇“采购标的对应的中小企业划分标准所属行业”中填写的所属行业一致。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注：各行业划型标准：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监狱企业证明文件</w:t>
      </w:r>
      <w:bookmarkEnd w:id="244"/>
      <w:bookmarkEnd w:id="245"/>
      <w:bookmarkEnd w:id="24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7" w:name="_Toc7980"/>
      <w:bookmarkStart w:id="248" w:name="_Toc11488"/>
      <w:bookmarkStart w:id="249" w:name="_Toc7029"/>
      <w:r>
        <w:rPr>
          <w:rFonts w:hint="eastAsia" w:ascii="方正仿宋_GBK" w:hAnsi="方正仿宋_GBK" w:eastAsia="方正仿宋_GBK" w:cs="方正仿宋_GBK"/>
          <w:color w:val="000000" w:themeColor="text1"/>
          <w:sz w:val="24"/>
          <w:szCs w:val="24"/>
          <w14:textFill>
            <w14:solidFill>
              <w14:schemeClr w14:val="tx1"/>
            </w14:solidFill>
          </w14:textFill>
        </w:rPr>
        <w:t>以省级以上监狱管理局、戒毒管理局（含新疆生产建设兵团）出具的属于监狱企业的证明文件为准。（非监狱企业不提供）</w:t>
      </w: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color w:val="000000" w:themeColor="text1"/>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残疾人福利性单位声明函</w:t>
      </w:r>
      <w:bookmarkEnd w:id="247"/>
      <w:bookmarkEnd w:id="248"/>
      <w:bookmarkEnd w:id="24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0" w:name="_Toc6275"/>
      <w:bookmarkStart w:id="251" w:name="_Toc17405"/>
      <w:bookmarkStart w:id="252" w:name="_Toc9397"/>
      <w:r>
        <w:rPr>
          <w:rFonts w:hint="eastAsia" w:ascii="方正仿宋_GBK" w:hAnsi="方正仿宋_GBK" w:eastAsia="方正仿宋_GBK" w:cs="方正仿宋_GBK"/>
          <w:color w:val="000000" w:themeColor="text1"/>
          <w:sz w:val="24"/>
          <w:szCs w:val="24"/>
          <w14:textFill>
            <w14:solidFill>
              <w14:schemeClr w14:val="tx1"/>
            </w14:solidFill>
          </w14:textFill>
        </w:rPr>
        <w:t>残疾人福利性单位声明函</w:t>
      </w:r>
      <w:bookmarkEnd w:id="250"/>
      <w:bookmarkEnd w:id="251"/>
      <w:bookmarkEnd w:id="25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3" w:name="_Toc1485"/>
      <w:bookmarkStart w:id="254" w:name="_Toc29982"/>
      <w:bookmarkStart w:id="255" w:name="_Toc29752"/>
      <w:r>
        <w:rPr>
          <w:rFonts w:hint="eastAsia" w:ascii="方正仿宋_GBK" w:hAnsi="方正仿宋_GBK" w:eastAsia="方正仿宋_GBK" w:cs="方正仿宋_GBK"/>
          <w:color w:val="000000" w:themeColor="text1"/>
          <w:sz w:val="24"/>
          <w:szCs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53"/>
      <w:bookmarkEnd w:id="254"/>
      <w:bookmarkEnd w:id="25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6" w:name="_Toc21165"/>
      <w:bookmarkStart w:id="257" w:name="_Toc14142"/>
      <w:bookmarkStart w:id="258" w:name="_Toc30109"/>
      <w:r>
        <w:rPr>
          <w:rFonts w:hint="eastAsia" w:ascii="方正仿宋_GBK" w:hAnsi="方正仿宋_GBK" w:eastAsia="方正仿宋_GBK" w:cs="方正仿宋_GBK"/>
          <w:color w:val="000000" w:themeColor="text1"/>
          <w:sz w:val="24"/>
          <w:szCs w:val="24"/>
          <w14:textFill>
            <w14:solidFill>
              <w14:schemeClr w14:val="tx1"/>
            </w14:solidFill>
          </w14:textFill>
        </w:rPr>
        <w:t>本单位对上述声明的真实性负责。如有虚假，将依法承担相应责任。（非残疾人福利性单位不提供）</w:t>
      </w:r>
      <w:bookmarkEnd w:id="256"/>
      <w:bookmarkEnd w:id="257"/>
      <w:bookmarkEnd w:id="258"/>
    </w:p>
    <w:p>
      <w:pPr>
        <w:tabs>
          <w:tab w:val="left" w:pos="6300"/>
        </w:tabs>
        <w:snapToGrid w:val="0"/>
        <w:spacing w:line="500" w:lineRule="exact"/>
        <w:ind w:firstLine="480" w:firstLineChars="200"/>
        <w:outlineLvl w:val="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outlineLvl w:val="0"/>
        <w:rPr>
          <w:rFonts w:hint="eastAsia" w:ascii="方正仿宋_GBK" w:hAnsi="方正仿宋_GBK" w:eastAsia="方正仿宋_GBK" w:cs="方正仿宋_GBK"/>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bookmarkStart w:id="259" w:name="_Toc12102"/>
      <w:bookmarkStart w:id="260" w:name="_Toc3009"/>
      <w:bookmarkStart w:id="261" w:name="_Toc8914"/>
      <w:r>
        <w:rPr>
          <w:rFonts w:hint="eastAsia" w:ascii="方正仿宋_GBK" w:hAnsi="方正仿宋_GBK" w:eastAsia="方正仿宋_GBK" w:cs="方正仿宋_GBK"/>
          <w:color w:val="000000" w:themeColor="text1"/>
          <w:sz w:val="24"/>
          <w:szCs w:val="24"/>
          <w14:textFill>
            <w14:solidFill>
              <w14:schemeClr w14:val="tx1"/>
            </w14:solidFill>
          </w14:textFill>
        </w:rPr>
        <w:t>供应商名称（盖章）：</w:t>
      </w:r>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bookmarkStart w:id="262" w:name="_Toc3879"/>
      <w:bookmarkStart w:id="263" w:name="_Toc17269"/>
      <w:bookmarkStart w:id="264" w:name="_Toc10137"/>
      <w:r>
        <w:rPr>
          <w:rFonts w:hint="eastAsia" w:ascii="方正仿宋_GBK" w:hAnsi="方正仿宋_GBK" w:eastAsia="方正仿宋_GBK" w:cs="方正仿宋_GBK"/>
          <w:color w:val="000000" w:themeColor="text1"/>
          <w:sz w:val="24"/>
          <w:szCs w:val="24"/>
          <w14:textFill>
            <w14:solidFill>
              <w14:schemeClr w14:val="tx1"/>
            </w14:solidFill>
          </w14:textFill>
        </w:rPr>
        <w:t>日  期：</w:t>
      </w:r>
      <w:bookmarkEnd w:id="262"/>
      <w:bookmarkEnd w:id="263"/>
      <w:bookmarkEnd w:id="264"/>
    </w:p>
    <w:p>
      <w:pPr>
        <w:spacing w:line="550" w:lineRule="exact"/>
        <w:jc w:val="both"/>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其他与项目有关的资料（自附）：供应商总体情况介绍、其他与本项目有关的资料等。</w:t>
      </w: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（结束）</w:t>
      </w: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400" w:lineRule="exact"/>
        <w:ind w:firstLine="480" w:firstLineChars="2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spacing w:line="400" w:lineRule="exact"/>
        <w:ind w:firstLine="480" w:firstLineChars="2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bookmarkEnd w:id="168"/>
    <w:bookmarkEnd w:id="169"/>
    <w:bookmarkEnd w:id="170"/>
    <w:bookmarkEnd w:id="171"/>
    <w:bookmarkEnd w:id="172"/>
    <w:bookmarkEnd w:id="173"/>
    <w:bookmarkEnd w:id="174"/>
    <w:p>
      <w:pPr>
        <w:spacing w:line="400" w:lineRule="exact"/>
        <w:ind w:firstLine="560" w:firstLineChars="200"/>
        <w:jc w:val="center"/>
        <w:rPr>
          <w:rFonts w:hint="eastAsia" w:ascii="方正仿宋_GBK" w:hAnsi="方正仿宋_GBK" w:eastAsia="方正仿宋_GBK" w:cs="方正仿宋_GBK"/>
          <w:color w:val="000000" w:themeColor="text1"/>
          <w14:textFill>
            <w14:solidFill>
              <w14:schemeClr w14:val="tx1"/>
            </w14:solidFill>
          </w14:textFill>
        </w:rPr>
      </w:pPr>
    </w:p>
    <w:p>
      <w:pPr>
        <w:rPr>
          <w:rFonts w:hint="eastAsia" w:ascii="方正仿宋_GBK" w:hAnsi="方正仿宋_GBK" w:eastAsia="方正仿宋_GBK" w:cs="方正仿宋_GBK"/>
          <w:color w:val="000000" w:themeColor="text1"/>
          <w14:textFill>
            <w14:solidFill>
              <w14:schemeClr w14:val="tx1"/>
            </w14:solidFill>
          </w14:textFill>
        </w:rPr>
      </w:pPr>
    </w:p>
    <w:sectPr>
      <w:headerReference r:id="rId7" w:type="default"/>
      <w:footerReference r:id="rId8" w:type="default"/>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2EE29A9-B887-4A10-906D-8C8ECAD692D5}"/>
  </w:font>
  <w:font w:name="Arial">
    <w:panose1 w:val="020B0604020202020204"/>
    <w:charset w:val="01"/>
    <w:family w:val="swiss"/>
    <w:pitch w:val="default"/>
    <w:sig w:usb0="E0002AFF" w:usb1="C0007843" w:usb2="00000009" w:usb3="00000000" w:csb0="400001FF" w:csb1="FFFF0000"/>
    <w:embedRegular r:id="rId2" w:fontKey="{F69F9239-0663-411D-A0F4-E8DF907855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4788179-4027-4980-A5F8-7C3BECB6E67E}"/>
  </w:font>
  <w:font w:name="Symbol">
    <w:panose1 w:val="05050102010706020507"/>
    <w:charset w:val="02"/>
    <w:family w:val="roman"/>
    <w:pitch w:val="default"/>
    <w:sig w:usb0="00000000" w:usb1="00000000" w:usb2="00000000" w:usb3="00000000" w:csb0="80000000" w:csb1="00000000"/>
    <w:embedRegular r:id="rId4" w:fontKey="{6DA0E027-C9A8-4849-8ED0-E2C2B3E5F433}"/>
  </w:font>
  <w:font w:name="Calibri">
    <w:panose1 w:val="020F0502020204030204"/>
    <w:charset w:val="00"/>
    <w:family w:val="swiss"/>
    <w:pitch w:val="default"/>
    <w:sig w:usb0="E00002FF" w:usb1="4000ACFF" w:usb2="00000001" w:usb3="00000000" w:csb0="2000019F" w:csb1="00000000"/>
    <w:embedRegular r:id="rId5" w:fontKey="{FA8A64C0-7A45-4109-8181-A8F1A8F04999}"/>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B9E4481E-D2E5-442B-BC9D-FD1C694A2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240"/>
    </w:pPr>
  </w:p>
  <w:p>
    <w:pPr>
      <w:pStyle w:val="12"/>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2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- 3 -</w:t>
                    </w:r>
                    <w:r>
                      <w:fldChar w:fldCharType="end"/>
                    </w:r>
                  </w:p>
                </w:txbxContent>
              </v:textbox>
            </v:shape>
          </w:pict>
        </mc:Fallback>
      </mc:AlternateContent>
    </w:r>
  </w:p>
  <w:p>
    <w:pPr>
      <w:pStyle w:val="12"/>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ascii="方正仿宋_GBK" w:eastAsia="方正仿宋_GBK"/>
        <w:sz w:val="21"/>
        <w:szCs w:val="21"/>
      </w:rPr>
    </w:pPr>
    <w:r>
      <w:rPr>
        <w:rFonts w:hint="eastAsia" w:ascii="宋体" w:hAnsi="宋体" w:eastAsia="宋体" w:cs="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宋体" w:hAnsi="宋体" w:eastAsia="宋体" w:cs="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6D0FD"/>
    <w:multiLevelType w:val="singleLevel"/>
    <w:tmpl w:val="CAC6D0FD"/>
    <w:lvl w:ilvl="0" w:tentative="0">
      <w:start w:val="5"/>
      <w:numFmt w:val="decimal"/>
      <w:lvlText w:val="%1."/>
      <w:lvlJc w:val="left"/>
      <w:pPr>
        <w:tabs>
          <w:tab w:val="left" w:pos="312"/>
        </w:tabs>
      </w:pPr>
    </w:lvl>
  </w:abstractNum>
  <w:abstractNum w:abstractNumId="1">
    <w:nsid w:val="F9C7ED0D"/>
    <w:multiLevelType w:val="singleLevel"/>
    <w:tmpl w:val="F9C7ED0D"/>
    <w:lvl w:ilvl="0" w:tentative="0">
      <w:start w:val="7"/>
      <w:numFmt w:val="chineseCounting"/>
      <w:suff w:val="nothing"/>
      <w:lvlText w:val="（%1）"/>
      <w:lvlJc w:val="left"/>
      <w:rPr>
        <w:rFonts w:hint="eastAsia"/>
      </w:rPr>
    </w:lvl>
  </w:abstractNum>
  <w:abstractNum w:abstractNumId="2">
    <w:nsid w:val="3DFEA761"/>
    <w:multiLevelType w:val="singleLevel"/>
    <w:tmpl w:val="3DFEA761"/>
    <w:lvl w:ilvl="0" w:tentative="0">
      <w:start w:val="2"/>
      <w:numFmt w:val="decimal"/>
      <w:lvlText w:val="%1."/>
      <w:lvlJc w:val="left"/>
      <w:pPr>
        <w:tabs>
          <w:tab w:val="left" w:pos="312"/>
        </w:tabs>
      </w:pPr>
    </w:lvl>
  </w:abstractNum>
  <w:abstractNum w:abstractNumId="3">
    <w:nsid w:val="5DAE9924"/>
    <w:multiLevelType w:val="singleLevel"/>
    <w:tmpl w:val="5DAE9924"/>
    <w:lvl w:ilvl="0" w:tentative="0">
      <w:start w:val="1"/>
      <w:numFmt w:val="chineseCounting"/>
      <w:suff w:val="nothing"/>
      <w:lvlText w:val="（%1）"/>
      <w:lvlJc w:val="left"/>
    </w:lvl>
  </w:abstractNum>
  <w:abstractNum w:abstractNumId="4">
    <w:nsid w:val="6DDE1299"/>
    <w:multiLevelType w:val="singleLevel"/>
    <w:tmpl w:val="6DDE1299"/>
    <w:lvl w:ilvl="0" w:tentative="0">
      <w:start w:val="9"/>
      <w:numFmt w:val="decimal"/>
      <w:lvlText w:val="%1."/>
      <w:lvlJc w:val="left"/>
      <w:pPr>
        <w:tabs>
          <w:tab w:val="left" w:pos="312"/>
        </w:tabs>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F3CFA"/>
    <w:rsid w:val="016F7182"/>
    <w:rsid w:val="020A3FD8"/>
    <w:rsid w:val="027668D5"/>
    <w:rsid w:val="03B60225"/>
    <w:rsid w:val="04242CA4"/>
    <w:rsid w:val="0480477A"/>
    <w:rsid w:val="0665562F"/>
    <w:rsid w:val="07884519"/>
    <w:rsid w:val="0798381C"/>
    <w:rsid w:val="094C2BD6"/>
    <w:rsid w:val="095D351F"/>
    <w:rsid w:val="09EE30A5"/>
    <w:rsid w:val="0CA65AB8"/>
    <w:rsid w:val="0CEB3603"/>
    <w:rsid w:val="0DB00A92"/>
    <w:rsid w:val="0E3230AA"/>
    <w:rsid w:val="0E8B6FDF"/>
    <w:rsid w:val="0E9625B8"/>
    <w:rsid w:val="0F435F0C"/>
    <w:rsid w:val="0FC13FD8"/>
    <w:rsid w:val="112C7084"/>
    <w:rsid w:val="121106BA"/>
    <w:rsid w:val="139A0948"/>
    <w:rsid w:val="142A1603"/>
    <w:rsid w:val="144A0121"/>
    <w:rsid w:val="14800D1D"/>
    <w:rsid w:val="1642146E"/>
    <w:rsid w:val="17A6643F"/>
    <w:rsid w:val="18074025"/>
    <w:rsid w:val="1A69640A"/>
    <w:rsid w:val="1A894A5B"/>
    <w:rsid w:val="1CAE41F4"/>
    <w:rsid w:val="1F8C0876"/>
    <w:rsid w:val="1FB96274"/>
    <w:rsid w:val="22064DAA"/>
    <w:rsid w:val="25330612"/>
    <w:rsid w:val="256F5054"/>
    <w:rsid w:val="269D2FB1"/>
    <w:rsid w:val="280B5D59"/>
    <w:rsid w:val="296B407D"/>
    <w:rsid w:val="29EC458E"/>
    <w:rsid w:val="29F47BB3"/>
    <w:rsid w:val="2AA35602"/>
    <w:rsid w:val="2B102713"/>
    <w:rsid w:val="2BB04C84"/>
    <w:rsid w:val="2D227BE4"/>
    <w:rsid w:val="2D4A7265"/>
    <w:rsid w:val="2D8927CD"/>
    <w:rsid w:val="2E5D40B7"/>
    <w:rsid w:val="2E6C53FA"/>
    <w:rsid w:val="2F500714"/>
    <w:rsid w:val="318254CD"/>
    <w:rsid w:val="3208026D"/>
    <w:rsid w:val="33961B60"/>
    <w:rsid w:val="34CD3FAA"/>
    <w:rsid w:val="352F7B6E"/>
    <w:rsid w:val="35374F2C"/>
    <w:rsid w:val="359D7E25"/>
    <w:rsid w:val="35A624D5"/>
    <w:rsid w:val="35F5707D"/>
    <w:rsid w:val="37B41A95"/>
    <w:rsid w:val="38A831B0"/>
    <w:rsid w:val="394403CA"/>
    <w:rsid w:val="39B24885"/>
    <w:rsid w:val="3A2C5F17"/>
    <w:rsid w:val="3A591256"/>
    <w:rsid w:val="3A6D7005"/>
    <w:rsid w:val="3AFA3016"/>
    <w:rsid w:val="3B055929"/>
    <w:rsid w:val="3C9A5081"/>
    <w:rsid w:val="3D822488"/>
    <w:rsid w:val="3DB902CB"/>
    <w:rsid w:val="3FC34550"/>
    <w:rsid w:val="403D7F6A"/>
    <w:rsid w:val="428F461C"/>
    <w:rsid w:val="42E170AD"/>
    <w:rsid w:val="42F46466"/>
    <w:rsid w:val="46C93E05"/>
    <w:rsid w:val="471D37DB"/>
    <w:rsid w:val="480C5928"/>
    <w:rsid w:val="48B27928"/>
    <w:rsid w:val="4909056F"/>
    <w:rsid w:val="49E87024"/>
    <w:rsid w:val="4B030614"/>
    <w:rsid w:val="4D3A0CAF"/>
    <w:rsid w:val="50AB4BC7"/>
    <w:rsid w:val="51B10620"/>
    <w:rsid w:val="53CD2284"/>
    <w:rsid w:val="53E77CF7"/>
    <w:rsid w:val="54230F1A"/>
    <w:rsid w:val="570A5DBE"/>
    <w:rsid w:val="57DF2810"/>
    <w:rsid w:val="58BA110E"/>
    <w:rsid w:val="58DE40BF"/>
    <w:rsid w:val="5952523E"/>
    <w:rsid w:val="598C7063"/>
    <w:rsid w:val="59A623EC"/>
    <w:rsid w:val="59DC2091"/>
    <w:rsid w:val="5AB56E26"/>
    <w:rsid w:val="5AE57A27"/>
    <w:rsid w:val="5CF778AC"/>
    <w:rsid w:val="60F57F8A"/>
    <w:rsid w:val="62B8315C"/>
    <w:rsid w:val="632F2DB6"/>
    <w:rsid w:val="637C02A4"/>
    <w:rsid w:val="64B46C67"/>
    <w:rsid w:val="668979D9"/>
    <w:rsid w:val="66910B09"/>
    <w:rsid w:val="66A04007"/>
    <w:rsid w:val="675B62D6"/>
    <w:rsid w:val="67765133"/>
    <w:rsid w:val="67D64B48"/>
    <w:rsid w:val="68941DA2"/>
    <w:rsid w:val="695669D7"/>
    <w:rsid w:val="6A6D77E5"/>
    <w:rsid w:val="6ECF5A7E"/>
    <w:rsid w:val="6F210EB5"/>
    <w:rsid w:val="6F72360F"/>
    <w:rsid w:val="70D41912"/>
    <w:rsid w:val="718100A8"/>
    <w:rsid w:val="73591DE9"/>
    <w:rsid w:val="78740CE3"/>
    <w:rsid w:val="7C4356CB"/>
    <w:rsid w:val="7CD06927"/>
    <w:rsid w:val="7E1B429E"/>
    <w:rsid w:val="7E4F5BB3"/>
    <w:rsid w:val="7E6B4774"/>
    <w:rsid w:val="7EB177A2"/>
    <w:rsid w:val="7F266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5">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8">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sz w:val="24"/>
    </w:rPr>
  </w:style>
  <w:style w:type="paragraph" w:styleId="3">
    <w:name w:val="Body Text"/>
    <w:basedOn w:val="1"/>
    <w:next w:val="1"/>
    <w:qFormat/>
    <w:uiPriority w:val="0"/>
    <w:rPr>
      <w:rFonts w:ascii="仿宋_GB2312" w:eastAsia="仿宋_GB2312"/>
      <w:sz w:val="32"/>
    </w:rPr>
  </w:style>
  <w:style w:type="paragraph" w:styleId="9">
    <w:name w:val="Plain Text"/>
    <w:basedOn w:val="1"/>
    <w:qFormat/>
    <w:uiPriority w:val="0"/>
    <w:rPr>
      <w:rFonts w:ascii="宋体" w:hAnsi="Courier New"/>
      <w:sz w:val="21"/>
    </w:rPr>
  </w:style>
  <w:style w:type="paragraph" w:styleId="10">
    <w:name w:val="Date"/>
    <w:basedOn w:val="1"/>
    <w:next w:val="1"/>
    <w:qFormat/>
    <w:uiPriority w:val="0"/>
  </w:style>
  <w:style w:type="paragraph" w:styleId="11">
    <w:name w:val="Body Text Indent 2"/>
    <w:basedOn w:val="1"/>
    <w:qFormat/>
    <w:uiPriority w:val="0"/>
    <w:pPr>
      <w:snapToGrid w:val="0"/>
      <w:spacing w:line="560" w:lineRule="atLeast"/>
      <w:ind w:firstLine="540"/>
    </w:pPr>
  </w:style>
  <w:style w:type="paragraph" w:styleId="12">
    <w:name w:val="footer"/>
    <w:basedOn w:val="1"/>
    <w:qFormat/>
    <w:uiPriority w:val="99"/>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0"/>
    <w:pPr>
      <w:spacing w:line="180" w:lineRule="auto"/>
      <w:jc w:val="center"/>
    </w:pPr>
    <w:rPr>
      <w:sz w:val="30"/>
    </w:rPr>
  </w:style>
  <w:style w:type="paragraph" w:styleId="15">
    <w:name w:val="index 9"/>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16">
    <w:name w:val="toc 2"/>
    <w:basedOn w:val="1"/>
    <w:next w:val="1"/>
    <w:qFormat/>
    <w:uiPriority w:val="39"/>
    <w:pPr>
      <w:ind w:left="420" w:leftChars="200"/>
    </w:pPr>
  </w:style>
  <w:style w:type="paragraph" w:styleId="17">
    <w:name w:val="Normal (Web)"/>
    <w:basedOn w:val="1"/>
    <w:qFormat/>
    <w:uiPriority w:val="99"/>
    <w:pPr>
      <w:widowControl/>
      <w:spacing w:before="100" w:beforeAutospacing="1" w:after="100" w:afterAutospacing="1"/>
      <w:jc w:val="left"/>
    </w:pPr>
    <w:rPr>
      <w:rFonts w:ascii="宋体"/>
      <w:kern w:val="0"/>
      <w:sz w:val="24"/>
    </w:rPr>
  </w:style>
  <w:style w:type="character" w:styleId="20">
    <w:name w:val="page number"/>
    <w:basedOn w:val="19"/>
    <w:qFormat/>
    <w:uiPriority w:val="0"/>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1"/>
    <w:basedOn w:val="1"/>
    <w:next w:val="9"/>
    <w:qFormat/>
    <w:uiPriority w:val="0"/>
    <w:rPr>
      <w:rFonts w:ascii="宋体" w:hAnsi="Courier New"/>
      <w:sz w:val="21"/>
    </w:rPr>
  </w:style>
  <w:style w:type="paragraph" w:customStyle="1" w:styleId="23">
    <w:name w:val="正文1"/>
    <w:basedOn w:val="1"/>
    <w:qFormat/>
    <w:uiPriority w:val="0"/>
    <w:pPr>
      <w:spacing w:line="300" w:lineRule="auto"/>
      <w:ind w:firstLine="200" w:firstLineChars="200"/>
    </w:pPr>
    <w:rPr>
      <w:sz w:val="24"/>
    </w:rPr>
  </w:style>
  <w:style w:type="character" w:customStyle="1" w:styleId="24">
    <w:name w:val="正文1 Char Char"/>
    <w:qFormat/>
    <w:uiPriority w:val="0"/>
    <w:rPr>
      <w:rFonts w:ascii="宋体" w:hAnsi="宋体" w:eastAsia="宋体"/>
      <w:u w:val="single"/>
    </w:rPr>
  </w:style>
  <w:style w:type="paragraph" w:customStyle="1" w:styleId="25">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223</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2021-07-12T09:42:00Z</cp:lastPrinted>
  <dcterms:modified xsi:type="dcterms:W3CDTF">2021-08-05T09:08:32Z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00BC37313A6F408A8211AD67705A5277</vt:lpwstr>
  </property>
  <property fmtid="{D5CDD505-2E9C-101B-9397-08002B2CF9AE}" pid="4" name="KSOSaveFontToCloudKey">
    <vt:lpwstr>556059695_embed</vt:lpwstr>
  </property>
</Properties>
</file>