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黑体_GBK" w:hAnsi="宋体" w:eastAsia="方正黑体_GBK"/>
          <w:spacing w:val="80"/>
          <w:sz w:val="100"/>
          <w:szCs w:val="112"/>
        </w:rPr>
      </w:pPr>
    </w:p>
    <w:p>
      <w:pPr>
        <w:jc w:val="center"/>
        <w:outlineLvl w:val="0"/>
        <w:rPr>
          <w:rFonts w:hint="eastAsia" w:ascii="方正黑体_GBK" w:hAnsi="宋体" w:eastAsia="方正黑体_GBK"/>
          <w:spacing w:val="80"/>
          <w:sz w:val="100"/>
          <w:szCs w:val="112"/>
        </w:rPr>
      </w:pPr>
    </w:p>
    <w:p>
      <w:pPr>
        <w:jc w:val="center"/>
        <w:outlineLvl w:val="0"/>
        <w:rPr>
          <w:rFonts w:hint="eastAsia" w:ascii="方正黑体_GBK" w:hAnsi="宋体" w:eastAsia="方正黑体_GBK"/>
          <w:spacing w:val="80"/>
          <w:sz w:val="100"/>
          <w:szCs w:val="112"/>
        </w:rPr>
      </w:pPr>
      <w:r>
        <w:rPr>
          <w:rFonts w:hint="eastAsia" w:ascii="方正黑体_GBK" w:hAnsi="宋体" w:eastAsia="方正黑体_GBK"/>
          <w:spacing w:val="80"/>
          <w:sz w:val="100"/>
          <w:szCs w:val="112"/>
        </w:rPr>
        <w:t>询价采购文件</w:t>
      </w: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460" w:lineRule="exact"/>
        <w:ind w:firstLine="562" w:firstLineChars="200"/>
        <w:jc w:val="left"/>
        <w:rPr>
          <w:rFonts w:hint="eastAsia" w:ascii="方正仿宋_GBK" w:hAnsi="宋体" w:eastAsia="方正仿宋_GBK"/>
          <w:b/>
          <w:bCs/>
          <w:color w:val="auto"/>
          <w:sz w:val="28"/>
          <w:szCs w:val="28"/>
          <w:lang w:eastAsia="zh-CN"/>
        </w:rPr>
      </w:pPr>
      <w:r>
        <w:rPr>
          <w:rFonts w:hint="eastAsia" w:ascii="方正仿宋_GBK" w:hAnsi="宋体" w:eastAsia="方正仿宋_GBK"/>
          <w:b/>
          <w:bCs/>
          <w:color w:val="auto"/>
          <w:sz w:val="28"/>
          <w:szCs w:val="28"/>
          <w:lang w:eastAsia="zh-CN"/>
        </w:rPr>
        <w:t>项目名称： 荣昌区人民医院</w:t>
      </w:r>
      <w:r>
        <w:rPr>
          <w:rFonts w:hint="eastAsia" w:ascii="方正仿宋_GBK" w:hAnsi="宋体" w:eastAsia="方正仿宋_GBK"/>
          <w:b/>
          <w:bCs/>
          <w:color w:val="auto"/>
          <w:sz w:val="28"/>
          <w:szCs w:val="28"/>
          <w:lang w:eastAsia="zh-CN"/>
        </w:rPr>
        <w:t>粉碎机采购</w:t>
      </w:r>
    </w:p>
    <w:p>
      <w:pPr>
        <w:spacing w:line="460" w:lineRule="exact"/>
        <w:ind w:firstLine="562" w:firstLineChars="200"/>
        <w:jc w:val="left"/>
        <w:rPr>
          <w:rFonts w:hint="eastAsia" w:ascii="方正仿宋_GBK" w:hAnsi="宋体" w:eastAsia="方正仿宋_GBK"/>
          <w:b/>
          <w:bCs/>
          <w:color w:val="auto"/>
          <w:sz w:val="28"/>
          <w:szCs w:val="28"/>
          <w:lang w:eastAsia="zh-CN"/>
        </w:rPr>
      </w:pPr>
      <w:r>
        <w:rPr>
          <w:rFonts w:hint="eastAsia" w:ascii="方正仿宋_GBK" w:hAnsi="宋体" w:eastAsia="方正仿宋_GBK"/>
          <w:b/>
          <w:bCs/>
          <w:color w:val="auto"/>
          <w:sz w:val="28"/>
          <w:szCs w:val="28"/>
          <w:lang w:eastAsia="zh-CN"/>
        </w:rPr>
        <w:t>采 购 人：  重庆市荣昌区人民医院</w:t>
      </w:r>
    </w:p>
    <w:p>
      <w:pPr>
        <w:spacing w:line="720" w:lineRule="exact"/>
        <w:jc w:val="left"/>
        <w:outlineLvl w:val="0"/>
        <w:rPr>
          <w:rFonts w:hint="eastAsia" w:ascii="方正黑体_GBK" w:hAnsi="宋体" w:eastAsia="方正黑体_GBK"/>
          <w:sz w:val="48"/>
          <w:szCs w:val="32"/>
        </w:rPr>
      </w:pPr>
    </w:p>
    <w:p>
      <w:pPr>
        <w:spacing w:line="720" w:lineRule="exact"/>
        <w:jc w:val="center"/>
        <w:outlineLvl w:val="0"/>
        <w:rPr>
          <w:rFonts w:hint="eastAsia" w:ascii="方正黑体_GBK" w:hAnsi="宋体" w:eastAsia="方正黑体_GBK"/>
          <w:sz w:val="48"/>
          <w:szCs w:val="32"/>
        </w:rPr>
      </w:pPr>
    </w:p>
    <w:p>
      <w:pPr>
        <w:spacing w:line="720" w:lineRule="exact"/>
        <w:outlineLvl w:val="0"/>
        <w:rPr>
          <w:rFonts w:hint="eastAsia" w:ascii="方正黑体_GBK" w:hAnsi="宋体" w:eastAsia="方正黑体_GBK"/>
          <w:sz w:val="48"/>
          <w:szCs w:val="32"/>
        </w:rPr>
      </w:pPr>
    </w:p>
    <w:p>
      <w:pPr>
        <w:spacing w:line="720" w:lineRule="exact"/>
        <w:outlineLvl w:val="0"/>
        <w:rPr>
          <w:rFonts w:hint="eastAsia" w:ascii="方正黑体_GBK" w:hAnsi="宋体" w:eastAsia="方正黑体_GBK"/>
          <w:sz w:val="48"/>
          <w:szCs w:val="32"/>
        </w:rPr>
      </w:pPr>
    </w:p>
    <w:p>
      <w:pPr>
        <w:spacing w:line="720" w:lineRule="exact"/>
        <w:outlineLvl w:val="0"/>
        <w:rPr>
          <w:rFonts w:hint="eastAsia" w:ascii="方正黑体_GBK" w:hAnsi="宋体" w:eastAsia="方正黑体_GBK"/>
          <w:sz w:val="48"/>
          <w:szCs w:val="32"/>
        </w:rPr>
      </w:pPr>
    </w:p>
    <w:p>
      <w:pPr>
        <w:spacing w:line="720" w:lineRule="exact"/>
        <w:jc w:val="center"/>
        <w:outlineLvl w:val="0"/>
        <w:rPr>
          <w:rFonts w:hint="eastAsia" w:ascii="方正黑体_GBK" w:hAnsi="宋体" w:eastAsia="方正黑体_GBK"/>
          <w:sz w:val="48"/>
          <w:szCs w:val="32"/>
        </w:rPr>
      </w:pPr>
    </w:p>
    <w:p>
      <w:pPr>
        <w:spacing w:line="420" w:lineRule="exact"/>
        <w:jc w:val="center"/>
        <w:outlineLvl w:val="0"/>
        <w:rPr>
          <w:rFonts w:hint="eastAsia" w:ascii="方正小标宋_GBK" w:hAnsi="宋体" w:eastAsia="方正小标宋_GBK"/>
          <w:sz w:val="44"/>
          <w:szCs w:val="44"/>
        </w:rPr>
      </w:pPr>
      <w:r>
        <w:rPr>
          <w:rFonts w:hint="eastAsia" w:ascii="方正小标宋_GBK" w:hAnsi="宋体" w:eastAsia="方正小标宋_GBK"/>
          <w:sz w:val="44"/>
          <w:szCs w:val="44"/>
        </w:rPr>
        <w:t>二〇二〇年</w:t>
      </w:r>
      <w:r>
        <w:rPr>
          <w:rFonts w:hint="eastAsia" w:ascii="方正小标宋_GBK" w:hAnsi="宋体" w:eastAsia="方正小标宋_GBK"/>
          <w:sz w:val="44"/>
          <w:szCs w:val="44"/>
          <w:lang w:eastAsia="zh-CN"/>
        </w:rPr>
        <w:t>八</w:t>
      </w:r>
      <w:r>
        <w:rPr>
          <w:rFonts w:hint="eastAsia" w:ascii="方正小标宋_GBK" w:hAnsi="宋体" w:eastAsia="方正小标宋_GBK"/>
          <w:sz w:val="44"/>
          <w:szCs w:val="44"/>
        </w:rPr>
        <w:t>月</w:t>
      </w:r>
    </w:p>
    <w:p>
      <w:pPr>
        <w:spacing w:line="420" w:lineRule="exact"/>
        <w:jc w:val="center"/>
        <w:outlineLvl w:val="0"/>
        <w:rPr>
          <w:rFonts w:hint="eastAsia" w:ascii="方正小标宋_GBK" w:hAnsi="宋体" w:eastAsia="方正小标宋_GBK"/>
          <w:sz w:val="44"/>
          <w:szCs w:val="44"/>
        </w:rPr>
      </w:pPr>
    </w:p>
    <w:p>
      <w:pPr>
        <w:spacing w:line="420" w:lineRule="exact"/>
        <w:jc w:val="center"/>
        <w:outlineLvl w:val="0"/>
        <w:rPr>
          <w:rFonts w:hint="eastAsia" w:ascii="方正小标宋_GBK" w:hAnsi="宋体" w:eastAsia="方正小标宋_GBK"/>
          <w:sz w:val="44"/>
          <w:szCs w:val="44"/>
        </w:rPr>
      </w:pPr>
    </w:p>
    <w:p>
      <w:pPr>
        <w:snapToGrid w:val="0"/>
        <w:spacing w:line="400" w:lineRule="exact"/>
        <w:ind w:firstLine="560" w:firstLineChars="200"/>
        <w:rPr>
          <w:rFonts w:ascii="方正仿宋_GBK" w:hAnsi="宋体" w:eastAsia="方正仿宋_GBK"/>
          <w:color w:val="auto"/>
          <w:sz w:val="28"/>
          <w:szCs w:val="28"/>
        </w:rPr>
      </w:pPr>
      <w:r>
        <w:rPr>
          <w:rFonts w:hint="eastAsia" w:ascii="方正仿宋_GBK" w:hAnsi="宋体" w:eastAsia="方正仿宋_GBK"/>
          <w:color w:val="auto"/>
          <w:sz w:val="28"/>
          <w:szCs w:val="28"/>
        </w:rPr>
        <w:t>重庆市荣昌区人民医院为满足业务发展需求，经院内审批同意，拟</w:t>
      </w:r>
      <w:r>
        <w:rPr>
          <w:rFonts w:hint="eastAsia" w:ascii="方正仿宋_GBK" w:hAnsi="宋体" w:eastAsia="方正仿宋_GBK"/>
          <w:color w:val="0000FF"/>
          <w:sz w:val="28"/>
          <w:szCs w:val="28"/>
          <w:lang w:eastAsia="zh-CN"/>
        </w:rPr>
        <w:t>紧急</w:t>
      </w:r>
      <w:r>
        <w:rPr>
          <w:rFonts w:hint="eastAsia" w:ascii="方正仿宋_GBK" w:hAnsi="宋体" w:eastAsia="方正仿宋_GBK"/>
          <w:color w:val="auto"/>
          <w:sz w:val="28"/>
          <w:szCs w:val="28"/>
        </w:rPr>
        <w:t>采购</w:t>
      </w:r>
      <w:r>
        <w:rPr>
          <w:rFonts w:hint="eastAsia" w:ascii="方正仿宋_GBK" w:hAnsi="宋体" w:eastAsia="方正仿宋_GBK"/>
          <w:color w:val="auto"/>
          <w:sz w:val="28"/>
          <w:szCs w:val="28"/>
          <w:lang w:eastAsia="zh-CN"/>
        </w:rPr>
        <w:t>粉碎机</w:t>
      </w:r>
      <w:r>
        <w:rPr>
          <w:rFonts w:hint="eastAsia" w:ascii="方正仿宋_GBK" w:hAnsi="宋体" w:eastAsia="方正仿宋_GBK"/>
          <w:color w:val="auto"/>
          <w:sz w:val="28"/>
          <w:szCs w:val="28"/>
        </w:rPr>
        <w:t>，欢迎有资格的供应商积极参加，相关具体要求如下：</w:t>
      </w:r>
    </w:p>
    <w:p>
      <w:pPr>
        <w:snapToGrid w:val="0"/>
        <w:spacing w:line="400" w:lineRule="exact"/>
        <w:ind w:firstLine="560" w:firstLineChars="200"/>
        <w:rPr>
          <w:rFonts w:ascii="方正仿宋_GBK" w:hAnsi="宋体" w:eastAsia="方正仿宋_GBK"/>
          <w:color w:val="auto"/>
          <w:sz w:val="28"/>
          <w:szCs w:val="28"/>
        </w:rPr>
      </w:pPr>
      <w:r>
        <w:rPr>
          <w:rFonts w:hint="eastAsia" w:ascii="方正黑体_GBK" w:hAnsi="宋体" w:eastAsia="方正黑体_GBK"/>
          <w:color w:val="auto"/>
          <w:sz w:val="28"/>
          <w:szCs w:val="28"/>
        </w:rPr>
        <w:t>一、询价采购内容</w:t>
      </w:r>
      <w:r>
        <w:rPr>
          <w:rFonts w:hint="eastAsia" w:ascii="方正仿宋_GBK" w:hAnsi="宋体" w:eastAsia="方正仿宋_GBK"/>
          <w:color w:val="auto"/>
          <w:sz w:val="28"/>
          <w:szCs w:val="28"/>
        </w:rPr>
        <w:t xml:space="preserve"> </w:t>
      </w:r>
    </w:p>
    <w:tbl>
      <w:tblPr>
        <w:tblStyle w:val="1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624"/>
        <w:gridCol w:w="941"/>
        <w:gridCol w:w="1212"/>
        <w:gridCol w:w="181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3"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b/>
                <w:bCs/>
                <w:color w:val="auto"/>
                <w:kern w:val="0"/>
                <w:lang w:eastAsia="zh-CN"/>
              </w:rPr>
            </w:pPr>
            <w:r>
              <w:rPr>
                <w:rFonts w:hint="eastAsia" w:ascii="方正仿宋_GBK" w:hAnsi="宋体" w:eastAsia="方正仿宋_GBK" w:cs="宋体"/>
                <w:b/>
                <w:bCs/>
                <w:color w:val="auto"/>
                <w:kern w:val="0"/>
                <w:lang w:eastAsia="zh-CN"/>
              </w:rPr>
              <w:t>序号</w:t>
            </w:r>
          </w:p>
        </w:tc>
        <w:tc>
          <w:tcPr>
            <w:tcW w:w="262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设备名称</w:t>
            </w:r>
          </w:p>
        </w:tc>
        <w:tc>
          <w:tcPr>
            <w:tcW w:w="941" w:type="dxa"/>
            <w:tcBorders>
              <w:top w:val="single" w:color="auto" w:sz="4" w:space="0"/>
              <w:left w:val="single" w:color="auto" w:sz="4" w:space="0"/>
              <w:right w:val="single" w:color="auto" w:sz="4" w:space="0"/>
            </w:tcBorders>
            <w:vAlign w:val="center"/>
          </w:tcPr>
          <w:p>
            <w:pPr>
              <w:widowControl/>
              <w:ind w:firstLine="207" w:firstLineChars="98"/>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数量及单位</w:t>
            </w:r>
          </w:p>
        </w:tc>
        <w:tc>
          <w:tcPr>
            <w:tcW w:w="1212" w:type="dxa"/>
            <w:tcBorders>
              <w:top w:val="single" w:color="auto" w:sz="4" w:space="0"/>
              <w:left w:val="single" w:color="auto" w:sz="4" w:space="0"/>
              <w:right w:val="single" w:color="auto" w:sz="4" w:space="0"/>
            </w:tcBorders>
            <w:vAlign w:val="center"/>
          </w:tcPr>
          <w:p>
            <w:pPr>
              <w:jc w:val="center"/>
              <w:rPr>
                <w:rFonts w:hint="eastAsia" w:ascii="方正仿宋_GBK" w:hAnsi="宋体" w:eastAsia="方正仿宋_GBK" w:cs="宋体"/>
                <w:b/>
                <w:bCs/>
                <w:color w:val="auto"/>
                <w:kern w:val="0"/>
                <w:lang w:eastAsia="zh-CN"/>
              </w:rPr>
            </w:pPr>
            <w:r>
              <w:rPr>
                <w:rFonts w:hint="eastAsia" w:ascii="方正仿宋_GBK" w:hAnsi="宋体" w:eastAsia="方正仿宋_GBK" w:cs="宋体"/>
                <w:b/>
                <w:bCs/>
                <w:color w:val="auto"/>
                <w:kern w:val="0"/>
                <w:lang w:eastAsia="zh-CN"/>
              </w:rPr>
              <w:t>单价限价（元）</w:t>
            </w:r>
          </w:p>
        </w:tc>
        <w:tc>
          <w:tcPr>
            <w:tcW w:w="1817" w:type="dxa"/>
            <w:tcBorders>
              <w:top w:val="single" w:color="auto" w:sz="4" w:space="0"/>
              <w:left w:val="single" w:color="auto" w:sz="4" w:space="0"/>
              <w:right w:val="single" w:color="auto" w:sz="4" w:space="0"/>
            </w:tcBorders>
            <w:vAlign w:val="center"/>
          </w:tcPr>
          <w:p>
            <w:pPr>
              <w:widowControl/>
              <w:ind w:firstLine="207" w:firstLineChars="98"/>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限价</w:t>
            </w:r>
          </w:p>
          <w:p>
            <w:pPr>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（元）</w:t>
            </w:r>
          </w:p>
        </w:tc>
        <w:tc>
          <w:tcPr>
            <w:tcW w:w="1700"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b/>
                <w:bCs/>
                <w:color w:val="auto"/>
                <w:kern w:val="0"/>
                <w:lang w:val="en-US" w:eastAsia="zh-CN"/>
              </w:rPr>
            </w:pPr>
            <w:bookmarkStart w:id="0" w:name="_Hlk344477914"/>
            <w:r>
              <w:rPr>
                <w:rFonts w:hint="eastAsia" w:ascii="方正仿宋_GBK" w:hAnsi="宋体" w:eastAsia="方正仿宋_GBK" w:cs="宋体"/>
                <w:b/>
                <w:bCs/>
                <w:color w:val="auto"/>
                <w:kern w:val="0"/>
                <w:lang w:val="en-US" w:eastAsia="zh-CN"/>
              </w:rPr>
              <w:t>1</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eastAsia="zh-CN"/>
              </w:rPr>
            </w:pPr>
            <w:r>
              <w:rPr>
                <w:rFonts w:hint="eastAsia" w:ascii="方正仿宋_GBK" w:hAnsi="宋体" w:eastAsia="方正仿宋_GBK"/>
                <w:color w:val="auto"/>
                <w:sz w:val="28"/>
                <w:szCs w:val="28"/>
                <w:lang w:eastAsia="zh-CN"/>
              </w:rPr>
              <w:t>粉碎机</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1台</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40000</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color w:val="auto"/>
                <w:kern w:val="0"/>
                <w:sz w:val="21"/>
                <w:szCs w:val="24"/>
                <w:lang w:val="en-US" w:eastAsia="zh-CN" w:bidi="ar-SA"/>
              </w:rPr>
            </w:pPr>
            <w:r>
              <w:rPr>
                <w:rFonts w:hint="eastAsia" w:ascii="方正仿宋_GBK" w:hAnsi="宋体" w:eastAsia="方正仿宋_GBK" w:cs="宋体"/>
                <w:color w:val="auto"/>
                <w:kern w:val="0"/>
                <w:lang w:val="en-US" w:eastAsia="zh-CN"/>
              </w:rPr>
              <w:t>40000</w:t>
            </w:r>
          </w:p>
        </w:tc>
        <w:tc>
          <w:tcPr>
            <w:tcW w:w="1700" w:type="dxa"/>
            <w:vMerge w:val="restart"/>
            <w:tcBorders>
              <w:top w:val="single" w:color="auto" w:sz="4" w:space="0"/>
              <w:left w:val="single" w:color="auto" w:sz="4" w:space="0"/>
              <w:right w:val="single" w:color="auto" w:sz="4" w:space="0"/>
            </w:tcBorders>
            <w:vAlign w:val="center"/>
          </w:tcPr>
          <w:p>
            <w:pPr>
              <w:jc w:val="center"/>
              <w:rPr>
                <w:rFonts w:ascii="方正仿宋_GBK" w:hAnsi="宋体" w:eastAsia="方正仿宋_GBK"/>
                <w:b/>
                <w:color w:val="auto"/>
                <w:szCs w:val="21"/>
              </w:rPr>
            </w:pPr>
            <w:r>
              <w:rPr>
                <w:rFonts w:hint="eastAsia" w:ascii="方正仿宋_GBK" w:hAnsi="宋体" w:eastAsia="方正仿宋_GBK"/>
                <w:b/>
                <w:color w:val="auto"/>
                <w:szCs w:val="21"/>
              </w:rPr>
              <w:t>本分包产品须为中国大陆境内生产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b/>
                <w:bCs/>
                <w:color w:val="auto"/>
                <w:kern w:val="0"/>
                <w:lang w:val="en-US" w:eastAsia="zh-CN"/>
              </w:rPr>
            </w:pPr>
            <w:r>
              <w:rPr>
                <w:rFonts w:hint="eastAsia" w:ascii="方正仿宋_GBK" w:hAnsi="宋体" w:eastAsia="方正仿宋_GBK" w:cs="宋体"/>
                <w:b/>
                <w:bCs/>
                <w:color w:val="auto"/>
                <w:kern w:val="0"/>
                <w:lang w:val="en-US" w:eastAsia="zh-CN"/>
              </w:rPr>
              <w:t>2</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olor w:val="auto"/>
                <w:sz w:val="28"/>
                <w:szCs w:val="28"/>
                <w:lang w:eastAsia="zh-CN"/>
              </w:rPr>
            </w:pPr>
            <w:r>
              <w:rPr>
                <w:rFonts w:hint="eastAsia" w:ascii="方正仿宋_GBK" w:hAnsi="宋体" w:eastAsia="方正仿宋_GBK"/>
                <w:color w:val="auto"/>
                <w:sz w:val="28"/>
                <w:szCs w:val="28"/>
                <w:lang w:eastAsia="zh-CN"/>
              </w:rPr>
              <w:t>水冷式卧式连续投料粉碎机</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1台</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10000</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color w:val="auto"/>
                <w:kern w:val="0"/>
                <w:sz w:val="21"/>
                <w:szCs w:val="24"/>
                <w:lang w:val="en-US" w:eastAsia="zh-CN" w:bidi="ar-SA"/>
              </w:rPr>
            </w:pPr>
            <w:r>
              <w:rPr>
                <w:rFonts w:hint="eastAsia" w:ascii="方正仿宋_GBK" w:hAnsi="宋体" w:eastAsia="方正仿宋_GBK" w:cs="宋体"/>
                <w:color w:val="auto"/>
                <w:kern w:val="0"/>
                <w:lang w:val="en-US" w:eastAsia="zh-CN"/>
              </w:rPr>
              <w:t>10000</w:t>
            </w:r>
          </w:p>
        </w:tc>
        <w:tc>
          <w:tcPr>
            <w:tcW w:w="1700" w:type="dxa"/>
            <w:vMerge w:val="continue"/>
            <w:tcBorders>
              <w:left w:val="single" w:color="auto" w:sz="4" w:space="0"/>
              <w:right w:val="single" w:color="auto" w:sz="4" w:space="0"/>
            </w:tcBorders>
            <w:vAlign w:val="center"/>
          </w:tcPr>
          <w:p>
            <w:pPr>
              <w:jc w:val="center"/>
              <w:rPr>
                <w:rFonts w:hint="eastAsia" w:ascii="方正仿宋_GBK" w:hAnsi="宋体" w:eastAsia="方正仿宋_GBK"/>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b/>
                <w:bCs/>
                <w:color w:val="auto"/>
                <w:kern w:val="0"/>
                <w:lang w:val="en-US" w:eastAsia="zh-CN"/>
              </w:rPr>
            </w:pP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olor w:val="auto"/>
                <w:sz w:val="28"/>
                <w:szCs w:val="28"/>
                <w:lang w:eastAsia="zh-CN"/>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val="en-US" w:eastAsia="zh-CN"/>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合计</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50000</w:t>
            </w:r>
          </w:p>
        </w:tc>
        <w:tc>
          <w:tcPr>
            <w:tcW w:w="1700" w:type="dxa"/>
            <w:tcBorders>
              <w:left w:val="single" w:color="auto" w:sz="4" w:space="0"/>
              <w:right w:val="single" w:color="auto" w:sz="4" w:space="0"/>
            </w:tcBorders>
            <w:vAlign w:val="center"/>
          </w:tcPr>
          <w:p>
            <w:pPr>
              <w:jc w:val="center"/>
              <w:rPr>
                <w:rFonts w:hint="eastAsia" w:ascii="方正仿宋_GBK" w:hAnsi="宋体" w:eastAsia="方正仿宋_GBK"/>
                <w:b/>
                <w:color w:val="auto"/>
                <w:szCs w:val="21"/>
              </w:rPr>
            </w:pPr>
          </w:p>
        </w:tc>
      </w:tr>
      <w:bookmarkEnd w:id="0"/>
    </w:tbl>
    <w:p>
      <w:pPr>
        <w:snapToGrid w:val="0"/>
        <w:spacing w:line="400" w:lineRule="exact"/>
        <w:ind w:firstLine="560" w:firstLineChars="200"/>
        <w:rPr>
          <w:rFonts w:hint="eastAsia" w:ascii="方正仿宋_GBK" w:hAnsi="宋体" w:eastAsia="方正仿宋_GBK"/>
          <w:color w:val="auto"/>
          <w:sz w:val="28"/>
          <w:szCs w:val="28"/>
          <w:lang w:eastAsia="zh-CN"/>
        </w:rPr>
      </w:pPr>
    </w:p>
    <w:p>
      <w:pPr>
        <w:snapToGrid w:val="0"/>
        <w:spacing w:line="400" w:lineRule="exact"/>
        <w:ind w:firstLine="560" w:firstLineChars="200"/>
        <w:rPr>
          <w:rFonts w:ascii="方正黑体_GBK" w:hAnsi="宋体" w:eastAsia="方正黑体_GBK"/>
          <w:color w:val="auto"/>
          <w:sz w:val="28"/>
          <w:szCs w:val="28"/>
        </w:rPr>
      </w:pPr>
      <w:r>
        <w:rPr>
          <w:rFonts w:hint="eastAsia" w:ascii="方正黑体_GBK" w:hAnsi="宋体" w:eastAsia="方正黑体_GBK"/>
          <w:color w:val="auto"/>
          <w:sz w:val="28"/>
          <w:szCs w:val="28"/>
        </w:rPr>
        <w:t>二、供应商要求</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（一）一般资格条件</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1.具有独立承担民事责任的能力；</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2.具有良好的商业信誉和健全的财务会计制度；</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3.具有履行合同所必需的设备和专业技术能力；</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4.有依法缴纳税收和社会保障资金的良好记录；</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5.参加政府采购活动前三年内，在经营活动中没有重大违法记录；</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6.法律、行政法规规定的其他条件。</w:t>
      </w:r>
    </w:p>
    <w:p>
      <w:pPr>
        <w:snapToGrid w:val="0"/>
        <w:spacing w:line="380" w:lineRule="exact"/>
        <w:ind w:firstLine="420" w:firstLineChars="150"/>
        <w:rPr>
          <w:rFonts w:ascii="方正仿宋_GBK" w:hAnsi="宋体" w:eastAsia="方正仿宋_GBK"/>
          <w:color w:val="auto"/>
          <w:sz w:val="28"/>
          <w:szCs w:val="28"/>
        </w:rPr>
      </w:pPr>
      <w:r>
        <w:rPr>
          <w:rFonts w:ascii="方正仿宋_GBK" w:hAnsi="宋体" w:eastAsia="方正仿宋_GBK"/>
          <w:color w:val="auto"/>
          <w:sz w:val="28"/>
          <w:szCs w:val="28"/>
        </w:rPr>
        <w:t>（二）特定资格条件</w:t>
      </w:r>
    </w:p>
    <w:p>
      <w:pPr>
        <w:snapToGrid w:val="0"/>
        <w:spacing w:line="400" w:lineRule="exact"/>
        <w:ind w:firstLine="560" w:firstLineChars="200"/>
        <w:rPr>
          <w:rFonts w:hint="eastAsia" w:ascii="方正仿宋_GBK" w:hAnsi="宋体" w:eastAsia="方正仿宋_GBK"/>
          <w:color w:val="auto"/>
          <w:sz w:val="28"/>
          <w:szCs w:val="28"/>
          <w:lang w:eastAsia="zh-CN"/>
        </w:rPr>
      </w:pPr>
      <w:r>
        <w:rPr>
          <w:rFonts w:hint="eastAsia" w:ascii="方正仿宋_GBK" w:hAnsi="宋体" w:eastAsia="方正仿宋_GBK"/>
          <w:color w:val="auto"/>
          <w:sz w:val="28"/>
          <w:szCs w:val="28"/>
          <w:lang w:eastAsia="zh-CN"/>
        </w:rPr>
        <w:t>无</w:t>
      </w:r>
    </w:p>
    <w:p>
      <w:pPr>
        <w:snapToGrid w:val="0"/>
        <w:spacing w:line="400" w:lineRule="exact"/>
        <w:ind w:firstLine="560" w:firstLineChars="200"/>
        <w:rPr>
          <w:rFonts w:hint="eastAsia" w:ascii="方正黑体_GBK" w:hAnsi="宋体" w:eastAsia="方正黑体_GBK"/>
          <w:color w:val="auto"/>
          <w:sz w:val="28"/>
          <w:szCs w:val="28"/>
          <w:lang w:eastAsia="zh-CN"/>
        </w:rPr>
      </w:pPr>
      <w:r>
        <w:rPr>
          <w:rFonts w:hint="eastAsia" w:ascii="方正黑体_GBK" w:hAnsi="宋体" w:eastAsia="方正黑体_GBK"/>
          <w:color w:val="auto"/>
          <w:sz w:val="28"/>
          <w:szCs w:val="28"/>
        </w:rPr>
        <w:t>三、</w:t>
      </w:r>
      <w:r>
        <w:rPr>
          <w:rFonts w:hint="eastAsia" w:ascii="方正黑体_GBK" w:hAnsi="宋体" w:eastAsia="方正黑体_GBK"/>
          <w:color w:val="auto"/>
          <w:sz w:val="28"/>
          <w:szCs w:val="28"/>
          <w:lang w:eastAsia="zh-CN"/>
        </w:rPr>
        <w:t>文件递交相关说明</w:t>
      </w:r>
    </w:p>
    <w:p>
      <w:pPr>
        <w:numPr>
          <w:ilvl w:val="0"/>
          <w:numId w:val="1"/>
        </w:numPr>
        <w:snapToGrid w:val="0"/>
        <w:spacing w:line="380" w:lineRule="exact"/>
        <w:ind w:left="425" w:leftChars="0" w:hanging="425" w:firstLineChars="0"/>
        <w:outlineLvl w:val="9"/>
        <w:rPr>
          <w:rFonts w:hint="default"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eastAsia="zh-CN"/>
        </w:rPr>
        <w:t>响应文件递交时间</w:t>
      </w:r>
      <w:r>
        <w:rPr>
          <w:rFonts w:hint="eastAsia" w:ascii="方正仿宋_GBK" w:hAnsi="宋体" w:eastAsia="方正仿宋_GBK"/>
          <w:color w:val="auto"/>
          <w:sz w:val="28"/>
          <w:szCs w:val="28"/>
        </w:rPr>
        <w:t>：202</w:t>
      </w:r>
      <w:r>
        <w:rPr>
          <w:rFonts w:hint="eastAsia" w:ascii="方正仿宋_GBK" w:hAnsi="宋体" w:eastAsia="方正仿宋_GBK"/>
          <w:color w:val="auto"/>
          <w:sz w:val="28"/>
          <w:szCs w:val="28"/>
          <w:lang w:val="en-US" w:eastAsia="zh-CN"/>
        </w:rPr>
        <w:t>1</w:t>
      </w:r>
      <w:r>
        <w:rPr>
          <w:rFonts w:hint="eastAsia" w:ascii="方正仿宋_GBK" w:hAnsi="宋体" w:eastAsia="方正仿宋_GBK"/>
          <w:color w:val="auto"/>
          <w:sz w:val="28"/>
          <w:szCs w:val="28"/>
        </w:rPr>
        <w:t>年</w:t>
      </w:r>
      <w:r>
        <w:rPr>
          <w:rFonts w:hint="eastAsia" w:ascii="方正仿宋_GBK" w:hAnsi="宋体" w:eastAsia="方正仿宋_GBK"/>
          <w:color w:val="auto"/>
          <w:sz w:val="28"/>
          <w:szCs w:val="28"/>
          <w:lang w:val="en-US" w:eastAsia="zh-CN"/>
        </w:rPr>
        <w:t>8</w:t>
      </w:r>
      <w:r>
        <w:rPr>
          <w:rFonts w:hint="eastAsia" w:ascii="方正仿宋_GBK" w:hAnsi="宋体" w:eastAsia="方正仿宋_GBK"/>
          <w:color w:val="auto"/>
          <w:sz w:val="28"/>
          <w:szCs w:val="28"/>
        </w:rPr>
        <w:t>月</w:t>
      </w:r>
      <w:r>
        <w:rPr>
          <w:rFonts w:hint="eastAsia" w:ascii="方正仿宋_GBK" w:hAnsi="宋体" w:eastAsia="方正仿宋_GBK"/>
          <w:color w:val="auto"/>
          <w:sz w:val="28"/>
          <w:szCs w:val="28"/>
          <w:lang w:val="en-US" w:eastAsia="zh-CN"/>
        </w:rPr>
        <w:t xml:space="preserve"> 20</w:t>
      </w:r>
      <w:r>
        <w:rPr>
          <w:rFonts w:hint="eastAsia" w:ascii="方正仿宋_GBK" w:hAnsi="宋体" w:eastAsia="方正仿宋_GBK"/>
          <w:color w:val="auto"/>
          <w:sz w:val="28"/>
          <w:szCs w:val="28"/>
        </w:rPr>
        <w:t>日</w:t>
      </w:r>
      <w:r>
        <w:rPr>
          <w:rFonts w:hint="eastAsia" w:ascii="方正仿宋_GBK" w:hAnsi="宋体" w:eastAsia="方正仿宋_GBK"/>
          <w:color w:val="auto"/>
          <w:sz w:val="28"/>
          <w:szCs w:val="28"/>
          <w:lang w:val="en-US" w:eastAsia="zh-CN"/>
        </w:rPr>
        <w:t>14</w:t>
      </w:r>
      <w:r>
        <w:rPr>
          <w:rFonts w:hint="eastAsia" w:ascii="方正仿宋_GBK" w:hAnsi="宋体" w:eastAsia="方正仿宋_GBK"/>
          <w:color w:val="auto"/>
          <w:sz w:val="28"/>
          <w:szCs w:val="28"/>
        </w:rPr>
        <w:t>:</w:t>
      </w:r>
      <w:r>
        <w:rPr>
          <w:rFonts w:hint="eastAsia" w:ascii="方正仿宋_GBK" w:hAnsi="宋体" w:eastAsia="方正仿宋_GBK"/>
          <w:color w:val="auto"/>
          <w:sz w:val="28"/>
          <w:szCs w:val="28"/>
          <w:lang w:val="en-US" w:eastAsia="zh-CN"/>
        </w:rPr>
        <w:t>3</w:t>
      </w:r>
      <w:r>
        <w:rPr>
          <w:rFonts w:hint="eastAsia" w:ascii="方正仿宋_GBK" w:hAnsi="宋体" w:eastAsia="方正仿宋_GBK"/>
          <w:color w:val="auto"/>
          <w:sz w:val="28"/>
          <w:szCs w:val="28"/>
        </w:rPr>
        <w:t>0</w:t>
      </w:r>
      <w:r>
        <w:rPr>
          <w:rFonts w:hint="eastAsia" w:ascii="方正仿宋_GBK" w:hAnsi="宋体" w:eastAsia="方正仿宋_GBK"/>
          <w:color w:val="auto"/>
          <w:sz w:val="28"/>
          <w:szCs w:val="28"/>
          <w:lang w:val="en-US" w:eastAsia="zh-CN"/>
        </w:rPr>
        <w:t>-15：00（北京时间）。</w:t>
      </w:r>
    </w:p>
    <w:p>
      <w:pPr>
        <w:numPr>
          <w:ilvl w:val="0"/>
          <w:numId w:val="1"/>
        </w:numPr>
        <w:snapToGrid w:val="0"/>
        <w:spacing w:line="380" w:lineRule="exact"/>
        <w:ind w:left="425" w:leftChars="0" w:hanging="425" w:firstLineChars="0"/>
        <w:outlineLvl w:val="9"/>
        <w:rPr>
          <w:rFonts w:hint="default"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响应文件递交方式：</w:t>
      </w:r>
      <w:r>
        <w:rPr>
          <w:rFonts w:hint="eastAsia" w:ascii="方正仿宋_GBK" w:hAnsi="宋体" w:eastAsia="方正仿宋_GBK"/>
          <w:color w:val="0000FF"/>
          <w:sz w:val="28"/>
          <w:szCs w:val="28"/>
          <w:lang w:val="en-US" w:eastAsia="zh-CN"/>
        </w:rPr>
        <w:t>因疫情原因采用邮寄方式</w:t>
      </w:r>
      <w:r>
        <w:rPr>
          <w:rFonts w:hint="eastAsia" w:ascii="方正仿宋_GBK" w:hAnsi="宋体" w:eastAsia="方正仿宋_GBK"/>
          <w:color w:val="auto"/>
          <w:sz w:val="28"/>
          <w:szCs w:val="28"/>
          <w:lang w:val="en-US" w:eastAsia="zh-CN"/>
        </w:rPr>
        <w:t>（邮寄地址和联系方式：重庆市荣昌区人民医院行政楼采购办（三），张台贤18523975326）。</w:t>
      </w:r>
    </w:p>
    <w:p>
      <w:pPr>
        <w:numPr>
          <w:ilvl w:val="0"/>
          <w:numId w:val="1"/>
        </w:numPr>
        <w:snapToGrid w:val="0"/>
        <w:spacing w:line="380" w:lineRule="exact"/>
        <w:ind w:left="425" w:leftChars="0" w:hanging="425" w:firstLineChars="0"/>
        <w:outlineLvl w:val="9"/>
        <w:rPr>
          <w:rFonts w:hint="default"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响应文件递交地点：重庆市荣昌区人民医院行政楼3楼会议室（一）。</w:t>
      </w:r>
    </w:p>
    <w:p>
      <w:pPr>
        <w:numPr>
          <w:ilvl w:val="0"/>
          <w:numId w:val="1"/>
        </w:numPr>
        <w:snapToGrid w:val="0"/>
        <w:spacing w:line="380" w:lineRule="exact"/>
        <w:ind w:left="425" w:leftChars="0" w:hanging="425" w:firstLineChars="0"/>
        <w:outlineLvl w:val="9"/>
        <w:rPr>
          <w:rFonts w:hint="eastAsia"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评审时间</w:t>
      </w:r>
      <w:r>
        <w:rPr>
          <w:rFonts w:hint="eastAsia" w:ascii="方正仿宋_GBK" w:hAnsi="宋体" w:eastAsia="方正仿宋_GBK"/>
          <w:color w:val="auto"/>
          <w:sz w:val="28"/>
          <w:szCs w:val="28"/>
        </w:rPr>
        <w:t>202</w:t>
      </w:r>
      <w:r>
        <w:rPr>
          <w:rFonts w:hint="eastAsia" w:ascii="方正仿宋_GBK" w:hAnsi="宋体" w:eastAsia="方正仿宋_GBK"/>
          <w:color w:val="auto"/>
          <w:sz w:val="28"/>
          <w:szCs w:val="28"/>
          <w:lang w:val="en-US" w:eastAsia="zh-CN"/>
        </w:rPr>
        <w:t>1</w:t>
      </w:r>
      <w:r>
        <w:rPr>
          <w:rFonts w:hint="eastAsia" w:ascii="方正仿宋_GBK" w:hAnsi="宋体" w:eastAsia="方正仿宋_GBK"/>
          <w:color w:val="auto"/>
          <w:sz w:val="28"/>
          <w:szCs w:val="28"/>
        </w:rPr>
        <w:t>年</w:t>
      </w:r>
      <w:r>
        <w:rPr>
          <w:rFonts w:hint="eastAsia" w:ascii="方正仿宋_GBK" w:hAnsi="宋体" w:eastAsia="方正仿宋_GBK"/>
          <w:color w:val="auto"/>
          <w:sz w:val="28"/>
          <w:szCs w:val="28"/>
          <w:lang w:val="en-US" w:eastAsia="zh-CN"/>
        </w:rPr>
        <w:t>8</w:t>
      </w:r>
      <w:r>
        <w:rPr>
          <w:rFonts w:hint="eastAsia" w:ascii="方正仿宋_GBK" w:hAnsi="宋体" w:eastAsia="方正仿宋_GBK"/>
          <w:color w:val="auto"/>
          <w:sz w:val="28"/>
          <w:szCs w:val="28"/>
        </w:rPr>
        <w:t>月</w:t>
      </w:r>
      <w:r>
        <w:rPr>
          <w:rFonts w:hint="eastAsia" w:ascii="方正仿宋_GBK" w:hAnsi="宋体" w:eastAsia="方正仿宋_GBK"/>
          <w:color w:val="auto"/>
          <w:sz w:val="28"/>
          <w:szCs w:val="28"/>
          <w:lang w:val="en-US" w:eastAsia="zh-CN"/>
        </w:rPr>
        <w:t xml:space="preserve">20 </w:t>
      </w:r>
      <w:r>
        <w:rPr>
          <w:rFonts w:hint="eastAsia" w:ascii="方正仿宋_GBK" w:hAnsi="宋体" w:eastAsia="方正仿宋_GBK"/>
          <w:color w:val="auto"/>
          <w:sz w:val="28"/>
          <w:szCs w:val="28"/>
        </w:rPr>
        <w:t>日</w:t>
      </w:r>
      <w:r>
        <w:rPr>
          <w:rFonts w:hint="eastAsia" w:ascii="方正仿宋_GBK" w:hAnsi="宋体" w:eastAsia="方正仿宋_GBK"/>
          <w:color w:val="auto"/>
          <w:sz w:val="28"/>
          <w:szCs w:val="28"/>
          <w:lang w:val="en-US" w:eastAsia="zh-CN"/>
        </w:rPr>
        <w:t>15：00（北京时间）</w:t>
      </w:r>
    </w:p>
    <w:p>
      <w:pPr>
        <w:numPr>
          <w:ilvl w:val="0"/>
          <w:numId w:val="1"/>
        </w:numPr>
        <w:snapToGrid w:val="0"/>
        <w:spacing w:line="380" w:lineRule="exact"/>
        <w:ind w:left="425" w:leftChars="0" w:hanging="425" w:firstLineChars="0"/>
        <w:outlineLvl w:val="9"/>
        <w:rPr>
          <w:rFonts w:hint="default"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评审地点：重庆市荣昌区人民医院行政楼3楼会议室（一）。</w:t>
      </w:r>
    </w:p>
    <w:p>
      <w:pPr>
        <w:snapToGrid w:val="0"/>
        <w:spacing w:line="400" w:lineRule="exact"/>
        <w:ind w:firstLine="560" w:firstLineChars="200"/>
        <w:rPr>
          <w:rFonts w:hint="eastAsia" w:ascii="方正黑体_GBK" w:hAnsi="宋体" w:eastAsia="方正黑体_GBK"/>
          <w:color w:val="auto"/>
          <w:sz w:val="28"/>
          <w:szCs w:val="28"/>
          <w:lang w:eastAsia="zh-CN"/>
        </w:rPr>
      </w:pPr>
      <w:r>
        <w:rPr>
          <w:rFonts w:hint="eastAsia" w:ascii="方正黑体_GBK" w:hAnsi="宋体" w:eastAsia="方正黑体_GBK"/>
          <w:color w:val="auto"/>
          <w:sz w:val="28"/>
          <w:szCs w:val="28"/>
          <w:lang w:eastAsia="zh-CN"/>
        </w:rPr>
        <w:t>四、评审方式及相关说明</w:t>
      </w:r>
    </w:p>
    <w:p>
      <w:pPr>
        <w:spacing w:line="560" w:lineRule="exact"/>
        <w:ind w:firstLine="560" w:firstLineChars="200"/>
        <w:rPr>
          <w:rFonts w:hint="eastAsia"/>
          <w:color w:val="auto"/>
          <w:sz w:val="28"/>
          <w:szCs w:val="28"/>
          <w:u w:val="single"/>
        </w:rPr>
      </w:pPr>
      <w:r>
        <w:rPr>
          <w:rFonts w:hint="eastAsia"/>
          <w:color w:val="auto"/>
          <w:sz w:val="28"/>
          <w:szCs w:val="28"/>
          <w:u w:val="single"/>
          <w:lang w:val="en-US" w:eastAsia="zh-CN"/>
        </w:rPr>
        <w:t>1、</w:t>
      </w:r>
      <w:r>
        <w:rPr>
          <w:rFonts w:hint="eastAsia"/>
          <w:color w:val="auto"/>
          <w:sz w:val="28"/>
          <w:szCs w:val="28"/>
          <w:u w:val="single"/>
        </w:rPr>
        <w:t>最低价</w:t>
      </w:r>
      <w:r>
        <w:rPr>
          <w:rFonts w:hint="eastAsia"/>
          <w:color w:val="auto"/>
          <w:sz w:val="28"/>
          <w:szCs w:val="28"/>
          <w:u w:val="single"/>
          <w:lang w:eastAsia="zh-CN"/>
        </w:rPr>
        <w:t>评审</w:t>
      </w:r>
      <w:r>
        <w:rPr>
          <w:rFonts w:hint="eastAsia"/>
          <w:color w:val="auto"/>
          <w:sz w:val="28"/>
          <w:szCs w:val="28"/>
          <w:u w:val="single"/>
        </w:rPr>
        <w:t>法，经评审符合要求的最低报价供应商为成交供应商。</w:t>
      </w:r>
    </w:p>
    <w:p>
      <w:pPr>
        <w:spacing w:line="560" w:lineRule="exact"/>
        <w:ind w:firstLine="560" w:firstLineChars="200"/>
        <w:rPr>
          <w:rFonts w:hint="eastAsia" w:eastAsia="宋体"/>
          <w:color w:val="auto"/>
          <w:sz w:val="28"/>
          <w:szCs w:val="28"/>
          <w:u w:val="single"/>
          <w:lang w:val="en-US" w:eastAsia="zh-CN"/>
        </w:rPr>
      </w:pPr>
      <w:r>
        <w:rPr>
          <w:rFonts w:hint="eastAsia"/>
          <w:color w:val="auto"/>
          <w:sz w:val="28"/>
          <w:szCs w:val="28"/>
          <w:u w:val="single"/>
          <w:lang w:val="en-US" w:eastAsia="zh-CN"/>
        </w:rPr>
        <w:t>2、响应供应商法定代表人或授权人未参加评审过程的视为认同评审结果。</w:t>
      </w:r>
    </w:p>
    <w:p>
      <w:pPr>
        <w:snapToGrid w:val="0"/>
        <w:spacing w:line="400" w:lineRule="exact"/>
        <w:ind w:firstLine="560" w:firstLineChars="200"/>
        <w:rPr>
          <w:rFonts w:hint="eastAsia" w:ascii="方正黑体_GBK" w:hAnsi="宋体" w:eastAsia="方正黑体_GBK"/>
          <w:color w:val="auto"/>
          <w:sz w:val="28"/>
          <w:szCs w:val="28"/>
        </w:rPr>
      </w:pPr>
      <w:r>
        <w:rPr>
          <w:rFonts w:hint="eastAsia" w:ascii="方正黑体_GBK" w:hAnsi="宋体" w:eastAsia="方正黑体_GBK"/>
          <w:color w:val="auto"/>
          <w:sz w:val="28"/>
          <w:szCs w:val="28"/>
        </w:rPr>
        <w:t>五、项目参数（必须全部满足）</w:t>
      </w:r>
    </w:p>
    <w:p>
      <w:pPr>
        <w:spacing w:before="156" w:line="400" w:lineRule="exact"/>
        <w:ind w:firstLine="562"/>
        <w:jc w:val="center"/>
        <w:outlineLvl w:val="0"/>
        <w:rPr>
          <w:rFonts w:hint="eastAsia" w:ascii="宋体" w:hAnsi="宋体" w:eastAsia="宋体"/>
          <w:b/>
          <w:bCs/>
          <w:sz w:val="24"/>
          <w:lang w:val="en-US" w:eastAsia="zh-CN"/>
        </w:rPr>
      </w:pPr>
      <w:r>
        <w:rPr>
          <w:rFonts w:hint="eastAsia" w:ascii="宋体" w:hAnsi="宋体"/>
          <w:b/>
          <w:bCs/>
          <w:sz w:val="28"/>
          <w:lang w:eastAsia="zh-CN"/>
        </w:rPr>
        <w:t>粉碎机</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1、主要用途:</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本机适用于制药、食品、化工等行业的物料粉碎</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2、工作原理：</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本机利用活动齿盘和固定齿盘间的相对运动，使被粉碎物经齿冲击，摩擦及物料彼此间冲击而获得粉碎，粒度大小通过更换筛网获得</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3、技术参数</w:t>
      </w:r>
    </w:p>
    <w:p>
      <w:pPr>
        <w:numPr>
          <w:ilvl w:val="1"/>
          <w:numId w:val="2"/>
        </w:numPr>
        <w:snapToGrid w:val="0"/>
        <w:spacing w:line="400" w:lineRule="exact"/>
        <w:ind w:left="567" w:leftChars="0" w:hanging="567" w:firstLineChars="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生产能力：100-300kg\h</w:t>
      </w:r>
    </w:p>
    <w:p>
      <w:pPr>
        <w:numPr>
          <w:ilvl w:val="1"/>
          <w:numId w:val="2"/>
        </w:numPr>
        <w:snapToGrid w:val="0"/>
        <w:spacing w:line="400" w:lineRule="exact"/>
        <w:ind w:left="567" w:leftChars="0" w:hanging="567" w:firstLineChars="0"/>
        <w:rPr>
          <w:rFonts w:hint="default"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进料粒度：&lt;10mm</w:t>
      </w:r>
    </w:p>
    <w:p>
      <w:pPr>
        <w:numPr>
          <w:ilvl w:val="1"/>
          <w:numId w:val="2"/>
        </w:numPr>
        <w:snapToGrid w:val="0"/>
        <w:spacing w:line="400" w:lineRule="exact"/>
        <w:ind w:left="567" w:leftChars="0" w:hanging="567" w:firstLineChars="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出料粒度：20-150mesh</w:t>
      </w:r>
    </w:p>
    <w:p>
      <w:pPr>
        <w:numPr>
          <w:ilvl w:val="1"/>
          <w:numId w:val="2"/>
        </w:numPr>
        <w:snapToGrid w:val="0"/>
        <w:spacing w:line="400" w:lineRule="exact"/>
        <w:ind w:left="567" w:leftChars="0" w:hanging="567" w:firstLineChars="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电机功率：≥7.5kw</w:t>
      </w:r>
    </w:p>
    <w:p>
      <w:pPr>
        <w:numPr>
          <w:ilvl w:val="1"/>
          <w:numId w:val="2"/>
        </w:numPr>
        <w:snapToGrid w:val="0"/>
        <w:spacing w:line="400" w:lineRule="exact"/>
        <w:ind w:left="567" w:leftChars="0" w:hanging="567" w:firstLineChars="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风机功率：≥1.1kw</w:t>
      </w:r>
    </w:p>
    <w:p>
      <w:pPr>
        <w:numPr>
          <w:ilvl w:val="1"/>
          <w:numId w:val="2"/>
        </w:numPr>
        <w:snapToGrid w:val="0"/>
        <w:spacing w:line="400" w:lineRule="exact"/>
        <w:ind w:left="567" w:leftChars="0" w:hanging="567" w:firstLineChars="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主轴转速：3800rpm</w:t>
      </w:r>
    </w:p>
    <w:p>
      <w:pPr>
        <w:numPr>
          <w:ilvl w:val="1"/>
          <w:numId w:val="2"/>
        </w:numPr>
        <w:snapToGrid w:val="0"/>
        <w:spacing w:line="400" w:lineRule="exact"/>
        <w:ind w:left="567" w:leftChars="0" w:hanging="567" w:firstLineChars="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外形尺寸：≤1280*600*1750mm</w:t>
      </w:r>
    </w:p>
    <w:p>
      <w:pPr>
        <w:numPr>
          <w:ilvl w:val="1"/>
          <w:numId w:val="2"/>
        </w:numPr>
        <w:snapToGrid w:val="0"/>
        <w:spacing w:line="400" w:lineRule="exact"/>
        <w:ind w:left="567" w:leftChars="0" w:hanging="567" w:firstLineChars="0"/>
        <w:rPr>
          <w:rFonts w:hint="default"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重量≤340kg</w:t>
      </w:r>
    </w:p>
    <w:p>
      <w:pPr>
        <w:spacing w:before="156" w:line="400" w:lineRule="exact"/>
        <w:ind w:firstLine="562"/>
        <w:jc w:val="center"/>
        <w:outlineLvl w:val="0"/>
        <w:rPr>
          <w:rFonts w:hint="eastAsia" w:ascii="宋体" w:hAnsi="宋体"/>
          <w:b/>
          <w:bCs/>
          <w:sz w:val="28"/>
          <w:lang w:eastAsia="zh-CN"/>
        </w:rPr>
      </w:pPr>
      <w:r>
        <w:rPr>
          <w:rFonts w:hint="eastAsia" w:ascii="宋体" w:hAnsi="宋体"/>
          <w:b/>
          <w:bCs/>
          <w:sz w:val="28"/>
          <w:lang w:eastAsia="zh-CN"/>
        </w:rPr>
        <w:t>水冷式卧式连续投料粉碎机</w:t>
      </w:r>
    </w:p>
    <w:p>
      <w:pPr>
        <w:numPr>
          <w:ilvl w:val="0"/>
          <w:numId w:val="3"/>
        </w:numPr>
        <w:snapToGrid w:val="0"/>
        <w:spacing w:line="400" w:lineRule="exact"/>
        <w:ind w:left="425" w:leftChars="0" w:hanging="425" w:firstLineChars="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电压220V,</w:t>
      </w:r>
    </w:p>
    <w:p>
      <w:pPr>
        <w:numPr>
          <w:ilvl w:val="0"/>
          <w:numId w:val="3"/>
        </w:numPr>
        <w:snapToGrid w:val="0"/>
        <w:spacing w:line="400" w:lineRule="exact"/>
        <w:ind w:left="425" w:leftChars="0" w:hanging="425" w:firstLineChars="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功率≥3200W，</w:t>
      </w:r>
    </w:p>
    <w:p>
      <w:pPr>
        <w:numPr>
          <w:ilvl w:val="0"/>
          <w:numId w:val="3"/>
        </w:numPr>
        <w:snapToGrid w:val="0"/>
        <w:spacing w:line="400" w:lineRule="exact"/>
        <w:ind w:left="425" w:leftChars="0" w:hanging="425" w:firstLineChars="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细度：60-80目，</w:t>
      </w:r>
    </w:p>
    <w:p>
      <w:pPr>
        <w:numPr>
          <w:ilvl w:val="0"/>
          <w:numId w:val="3"/>
        </w:numPr>
        <w:snapToGrid w:val="0"/>
        <w:spacing w:line="400" w:lineRule="exact"/>
        <w:ind w:left="425" w:leftChars="0" w:hanging="425" w:firstLineChars="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转速：≥2840转/分</w:t>
      </w:r>
    </w:p>
    <w:p>
      <w:pPr>
        <w:numPr>
          <w:ilvl w:val="0"/>
          <w:numId w:val="3"/>
        </w:numPr>
        <w:snapToGrid w:val="0"/>
        <w:spacing w:line="400" w:lineRule="exact"/>
        <w:ind w:left="425" w:leftChars="0" w:hanging="425" w:firstLineChars="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细粉产量：1-30KG/小时</w:t>
      </w:r>
    </w:p>
    <w:p>
      <w:pPr>
        <w:numPr>
          <w:ilvl w:val="0"/>
          <w:numId w:val="3"/>
        </w:numPr>
        <w:snapToGrid w:val="0"/>
        <w:spacing w:line="400" w:lineRule="exact"/>
        <w:ind w:left="425" w:leftChars="0" w:hanging="425" w:firstLineChars="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粗粉产量1-55KG/小时</w:t>
      </w:r>
    </w:p>
    <w:p>
      <w:pPr>
        <w:numPr>
          <w:ilvl w:val="0"/>
          <w:numId w:val="3"/>
        </w:numPr>
        <w:snapToGrid w:val="0"/>
        <w:spacing w:line="400" w:lineRule="exact"/>
        <w:ind w:left="425" w:leftChars="0" w:hanging="425" w:firstLineChars="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工作时长：连续工作1-5小时，</w:t>
      </w:r>
    </w:p>
    <w:p>
      <w:pPr>
        <w:numPr>
          <w:ilvl w:val="0"/>
          <w:numId w:val="3"/>
        </w:numPr>
        <w:snapToGrid w:val="0"/>
        <w:spacing w:line="400" w:lineRule="exact"/>
        <w:ind w:left="425" w:leftChars="0" w:hanging="425" w:firstLineChars="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重量：≤47.9KG，</w:t>
      </w:r>
    </w:p>
    <w:p>
      <w:pPr>
        <w:numPr>
          <w:ilvl w:val="0"/>
          <w:numId w:val="3"/>
        </w:numPr>
        <w:snapToGrid w:val="0"/>
        <w:spacing w:line="400" w:lineRule="exact"/>
        <w:ind w:left="425" w:leftChars="0" w:hanging="425" w:firstLineChars="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尺寸：≤62*30*58cm</w:t>
      </w:r>
    </w:p>
    <w:p>
      <w:pPr>
        <w:numPr>
          <w:ilvl w:val="0"/>
          <w:numId w:val="3"/>
        </w:numPr>
        <w:snapToGrid w:val="0"/>
        <w:spacing w:line="400" w:lineRule="exact"/>
        <w:ind w:left="425" w:leftChars="0" w:hanging="425" w:firstLineChars="0"/>
        <w:rPr>
          <w:rFonts w:hint="default"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功能：细粉，用细网筛</w:t>
      </w:r>
    </w:p>
    <w:p>
      <w:pPr>
        <w:numPr>
          <w:numId w:val="0"/>
        </w:numPr>
        <w:snapToGrid w:val="0"/>
        <w:spacing w:line="400" w:lineRule="exact"/>
        <w:ind w:leftChars="0"/>
        <w:rPr>
          <w:rFonts w:hint="default" w:ascii="宋体" w:hAnsi="宋体"/>
          <w:b/>
          <w:bCs/>
          <w:sz w:val="28"/>
          <w:lang w:val="en-US" w:eastAsia="zh-CN"/>
        </w:rPr>
      </w:pPr>
    </w:p>
    <w:p>
      <w:pPr>
        <w:snapToGrid w:val="0"/>
        <w:spacing w:line="400" w:lineRule="exact"/>
        <w:rPr>
          <w:rFonts w:ascii="方正黑体_GBK" w:hAnsi="宋体" w:eastAsia="方正黑体_GBK"/>
          <w:color w:val="auto"/>
          <w:sz w:val="28"/>
          <w:szCs w:val="28"/>
        </w:rPr>
      </w:pPr>
      <w:r>
        <w:rPr>
          <w:rFonts w:hint="eastAsia" w:ascii="方正黑体_GBK" w:hAnsi="宋体" w:eastAsia="方正黑体_GBK"/>
          <w:color w:val="auto"/>
          <w:sz w:val="28"/>
          <w:szCs w:val="28"/>
        </w:rPr>
        <w:t>六、商务要求（必须全部满足）</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（一）交货时间、地点及验收方式</w:t>
      </w:r>
    </w:p>
    <w:p>
      <w:pPr>
        <w:snapToGrid w:val="0"/>
        <w:spacing w:line="400" w:lineRule="exact"/>
        <w:ind w:firstLine="480" w:firstLineChars="200"/>
        <w:rPr>
          <w:rFonts w:ascii="方正仿宋_GBK" w:hAnsi="宋体" w:eastAsia="方正仿宋_GBK"/>
          <w:color w:val="auto"/>
          <w:sz w:val="24"/>
          <w:u w:val="single"/>
        </w:rPr>
      </w:pPr>
      <w:r>
        <w:rPr>
          <w:rFonts w:hint="eastAsia" w:ascii="方正仿宋_GBK" w:hAnsi="宋体" w:eastAsia="方正仿宋_GBK"/>
          <w:color w:val="auto"/>
          <w:sz w:val="24"/>
          <w:u w:val="single"/>
        </w:rPr>
        <w:t>1.交货时间</w:t>
      </w:r>
    </w:p>
    <w:p>
      <w:pPr>
        <w:snapToGrid w:val="0"/>
        <w:spacing w:line="400" w:lineRule="exact"/>
        <w:ind w:firstLine="480" w:firstLineChars="200"/>
        <w:rPr>
          <w:rFonts w:ascii="方正仿宋_GBK" w:hAnsi="宋体" w:eastAsia="方正仿宋_GBK"/>
          <w:color w:val="auto"/>
          <w:sz w:val="24"/>
          <w:u w:val="single"/>
        </w:rPr>
      </w:pPr>
      <w:r>
        <w:rPr>
          <w:rFonts w:hint="eastAsia" w:ascii="方正仿宋_GBK" w:hAnsi="宋体" w:eastAsia="方正仿宋_GBK"/>
          <w:color w:val="auto"/>
          <w:sz w:val="24"/>
          <w:u w:val="single"/>
          <w:lang w:val="zh-CN"/>
        </w:rPr>
        <w:t>采购合同签订后30个日历日以内全部交货并完成安装调试</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2.交货地点</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交货地点：重庆市</w:t>
      </w:r>
      <w:r>
        <w:rPr>
          <w:rFonts w:hint="eastAsia" w:ascii="方正仿宋_GBK" w:hAnsi="宋体" w:eastAsia="方正仿宋_GBK"/>
          <w:color w:val="auto"/>
          <w:sz w:val="24"/>
          <w:lang w:val="zh-CN"/>
        </w:rPr>
        <w:t>荣昌区人民医院指定地点</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3.验收方式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（1）货物到达现场后，成交供应商应在使用单位人员在场情况下当面开箱，共同清点、检查外观，作出开箱记录，双方签字确认。</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（2）成交供应商应保证货物到达采购人所在地完好无损，如有缺漏、损坏，由供应商负责调换、补齐或赔偿。</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（3）成交供应商应提供完备的技术资料、装箱单和合格证等，并派遣专业技术人员进行现场安装调试。验收合格条件如下：</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color w:val="auto"/>
          <w:sz w:val="24"/>
        </w:rPr>
        <w:t>性能指标达到规定的标准。</w:t>
      </w:r>
      <w:r>
        <w:rPr>
          <w:rFonts w:hint="eastAsia" w:ascii="方正仿宋_GBK" w:hAnsi="宋体" w:eastAsia="方正仿宋_GBK"/>
          <w:color w:val="auto"/>
          <w:sz w:val="24"/>
        </w:rPr>
        <w:t>成交供应商不得擅自调整、更换设备的品牌、型号和质量等。</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B、货物技术资料、装箱单、合格证等资料齐全。</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C、在规定时间内完成交货并验收，并经采购人确认。</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（4）产品经安装调试并运行正常。</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（5）供应商提供的货物未达到采购文件规定要求，且对采购人造成损失的，由供应商承担一切责任，并赔偿所造成的损失。</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（6）采购人需要制造商对成交供应商交付的产品（包括质量、技术参数等）进行确认的，制造商应予以配合，并出具书面意见。</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（7）产品包装材料归采购人所有。</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（8）本采购项目的设计、制造、配置、检验及验收应符合中华人民共和国现行的有关国家标准和法规（含行标或专业标准）。</w:t>
      </w:r>
    </w:p>
    <w:p>
      <w:pPr>
        <w:pStyle w:val="3"/>
        <w:spacing w:before="0" w:after="0" w:line="400" w:lineRule="exact"/>
        <w:rPr>
          <w:rFonts w:ascii="方正仿宋_GBK" w:hAnsi="宋体" w:eastAsia="方正仿宋_GBK"/>
          <w:color w:val="auto"/>
          <w:sz w:val="24"/>
          <w:szCs w:val="24"/>
        </w:rPr>
      </w:pPr>
      <w:bookmarkStart w:id="1" w:name="_Toc344475121"/>
      <w:bookmarkStart w:id="2" w:name="_Toc511909616"/>
      <w:r>
        <w:rPr>
          <w:rFonts w:hint="eastAsia" w:ascii="方正仿宋_GBK" w:hAnsi="宋体" w:eastAsia="方正仿宋_GBK"/>
          <w:color w:val="auto"/>
          <w:sz w:val="24"/>
          <w:szCs w:val="24"/>
        </w:rPr>
        <w:t>（二）质量保证及服务</w:t>
      </w:r>
      <w:bookmarkEnd w:id="1"/>
      <w:bookmarkEnd w:id="2"/>
      <w:r>
        <w:rPr>
          <w:rFonts w:hint="eastAsia" w:ascii="方正仿宋_GBK" w:hAnsi="宋体" w:eastAsia="方正仿宋_GBK"/>
          <w:color w:val="auto"/>
          <w:sz w:val="24"/>
          <w:szCs w:val="24"/>
        </w:rPr>
        <w:t>要求</w:t>
      </w:r>
    </w:p>
    <w:p>
      <w:pPr>
        <w:snapToGrid w:val="0"/>
        <w:spacing w:line="400" w:lineRule="exact"/>
        <w:ind w:firstLine="482" w:firstLineChars="200"/>
        <w:rPr>
          <w:rFonts w:ascii="方正仿宋_GBK" w:hAnsi="宋体" w:eastAsia="方正仿宋_GBK"/>
          <w:b/>
          <w:color w:val="auto"/>
          <w:sz w:val="24"/>
          <w:u w:val="single"/>
        </w:rPr>
      </w:pPr>
      <w:bookmarkStart w:id="3" w:name="_Toc511909617"/>
      <w:bookmarkStart w:id="4" w:name="_Toc344475122"/>
      <w:r>
        <w:rPr>
          <w:rFonts w:hint="eastAsia" w:ascii="方正仿宋_GBK" w:hAnsi="宋体" w:eastAsia="方正仿宋_GBK"/>
          <w:b/>
          <w:color w:val="auto"/>
          <w:sz w:val="24"/>
          <w:u w:val="single"/>
        </w:rPr>
        <w:t>产品质量保证期</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1、供应商应明确承诺：产品质保期</w:t>
      </w: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方正仿宋_GBK" w:hAnsi="宋体" w:eastAsia="方正仿宋_GBK"/>
          <w:color w:val="auto"/>
          <w:sz w:val="24"/>
        </w:rPr>
        <w:t>年</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供应商需保证所提供的货物是全新的、未使用过的，是完全符合合同规定的质量、规格和性能要求的。</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2、投标产品属于国家规定“三包”范围的，其产品质量保证期不得低于“三包”规定。</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3、供应商的质量保证期承诺优于国家“三包”规定的，按供应商实际承诺执行。</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4、投标产品由制造商（指产品生产制造商，或其负责销售、售后服务机构，以下同）负责标准售后服务的，应当在响应文件中予以明确说明,并提供相关文件。</w:t>
      </w:r>
    </w:p>
    <w:p>
      <w:pPr>
        <w:snapToGrid w:val="0"/>
        <w:spacing w:line="400" w:lineRule="exact"/>
        <w:ind w:firstLine="482" w:firstLineChars="200"/>
        <w:rPr>
          <w:rFonts w:ascii="方正仿宋_GBK" w:hAnsi="宋体" w:eastAsia="方正仿宋_GBK"/>
          <w:b/>
          <w:color w:val="auto"/>
          <w:sz w:val="24"/>
          <w:u w:val="single"/>
        </w:rPr>
      </w:pPr>
      <w:r>
        <w:rPr>
          <w:rFonts w:hint="eastAsia" w:ascii="方正仿宋_GBK" w:hAnsi="宋体" w:eastAsia="方正仿宋_GBK"/>
          <w:b/>
          <w:color w:val="auto"/>
          <w:sz w:val="24"/>
          <w:u w:val="single"/>
        </w:rPr>
        <w:t>售后服务内容</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1、供应商和制造商在质量保证期内应当为采购人提供以下技术支持和服务：</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（1）电话咨询</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成交供应商和制造商应当为采购人提供技术援助电话，解答采购人在使用中遇到的问题，及时为采购人提出解决问题的建议。</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（2）现场响应</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成交供应商或制造商</w:t>
      </w:r>
      <w:r>
        <w:rPr>
          <w:rFonts w:ascii="方正仿宋_GBK" w:hAnsi="宋体" w:eastAsia="方正仿宋_GBK"/>
          <w:color w:val="auto"/>
          <w:sz w:val="24"/>
          <w:lang w:val="zh-CN"/>
        </w:rPr>
        <w:t>必须在</w:t>
      </w:r>
      <w:r>
        <w:rPr>
          <w:rFonts w:hint="eastAsia" w:ascii="方正仿宋_GBK" w:hAnsi="宋体" w:eastAsia="方正仿宋_GBK"/>
          <w:color w:val="auto"/>
          <w:sz w:val="24"/>
          <w:lang w:val="zh-CN"/>
        </w:rPr>
        <w:t>重庆</w:t>
      </w:r>
      <w:r>
        <w:rPr>
          <w:rFonts w:ascii="方正仿宋_GBK" w:hAnsi="宋体" w:eastAsia="方正仿宋_GBK"/>
          <w:color w:val="auto"/>
          <w:sz w:val="24"/>
          <w:lang w:val="zh-CN"/>
        </w:rPr>
        <w:t>市有独立的原厂售后服务机构，并能提供</w:t>
      </w:r>
      <w:r>
        <w:rPr>
          <w:rFonts w:ascii="方正仿宋_GBK" w:hAnsi="宋体" w:eastAsia="方正仿宋_GBK"/>
          <w:color w:val="auto"/>
          <w:sz w:val="24"/>
        </w:rPr>
        <w:t>7×24</w:t>
      </w:r>
      <w:r>
        <w:rPr>
          <w:rFonts w:ascii="方正仿宋_GBK" w:hAnsi="宋体" w:eastAsia="方正仿宋_GBK"/>
          <w:color w:val="auto"/>
          <w:sz w:val="24"/>
          <w:lang w:val="zh-CN"/>
        </w:rPr>
        <w:t>小时技术支持与服务。设备出现故障时必须在</w:t>
      </w:r>
      <w:r>
        <w:rPr>
          <w:rFonts w:ascii="方正仿宋_GBK" w:hAnsi="宋体" w:eastAsia="方正仿宋_GBK"/>
          <w:color w:val="auto"/>
          <w:sz w:val="24"/>
        </w:rPr>
        <w:t xml:space="preserve"> 2</w:t>
      </w:r>
      <w:r>
        <w:rPr>
          <w:rFonts w:ascii="方正仿宋_GBK" w:hAnsi="宋体" w:eastAsia="方正仿宋_GBK"/>
          <w:color w:val="auto"/>
          <w:sz w:val="24"/>
          <w:lang w:val="zh-CN"/>
        </w:rPr>
        <w:t>小时内对需方所提出的维修要求做出响应，</w:t>
      </w:r>
      <w:r>
        <w:rPr>
          <w:rFonts w:hint="eastAsia" w:ascii="方正仿宋_GBK" w:hAnsi="宋体" w:eastAsia="方正仿宋_GBK"/>
          <w:color w:val="auto"/>
          <w:sz w:val="24"/>
          <w:lang w:val="zh-CN"/>
        </w:rPr>
        <w:t>重庆</w:t>
      </w:r>
      <w:r>
        <w:rPr>
          <w:rFonts w:ascii="方正仿宋_GBK" w:hAnsi="宋体" w:eastAsia="方正仿宋_GBK"/>
          <w:color w:val="auto"/>
          <w:sz w:val="24"/>
          <w:lang w:val="zh-CN"/>
        </w:rPr>
        <w:t>市当地2小时到达设备现场并于</w:t>
      </w:r>
      <w:r>
        <w:rPr>
          <w:rFonts w:hint="eastAsia" w:ascii="方正仿宋_GBK" w:hAnsi="宋体" w:eastAsia="方正仿宋_GBK"/>
          <w:color w:val="auto"/>
          <w:sz w:val="24"/>
          <w:lang w:val="zh-CN"/>
        </w:rPr>
        <w:t>12</w:t>
      </w:r>
      <w:r>
        <w:rPr>
          <w:rFonts w:ascii="方正仿宋_GBK" w:hAnsi="宋体" w:eastAsia="方正仿宋_GBK"/>
          <w:color w:val="auto"/>
          <w:sz w:val="24"/>
          <w:lang w:val="zh-CN"/>
        </w:rPr>
        <w:t>小时内修复</w:t>
      </w:r>
      <w:r>
        <w:rPr>
          <w:rFonts w:hint="eastAsia" w:ascii="方正仿宋_GBK" w:hAnsi="宋体" w:eastAsia="方正仿宋_GBK"/>
          <w:color w:val="auto"/>
          <w:sz w:val="24"/>
          <w:lang w:val="zh-CN"/>
        </w:rPr>
        <w:t>。</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（3）技术升级</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在质保期内，如果成交供应商和制造商的产品技术升级，供应商应及时通知采购人，如采购人有相应要求，成交供应商和制造商应对采购人购买的产品进行升级服务。</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2、质保期外服务要求</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（1）质量保证期过后，供应商和制造商应同样提供免费电话咨询服务，并应承诺提供产品上门维护服务。</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（2）质量保证期过后，采购人需要继续由原供应商和制造商提供售后服务的，该供应商和制造商应以优惠价格提供售后服务。</w:t>
      </w:r>
    </w:p>
    <w:p>
      <w:pPr>
        <w:snapToGrid w:val="0"/>
        <w:spacing w:line="400" w:lineRule="exact"/>
        <w:ind w:firstLine="482" w:firstLineChars="200"/>
        <w:rPr>
          <w:rFonts w:ascii="方正仿宋_GBK" w:hAnsi="宋体" w:eastAsia="方正仿宋_GBK"/>
          <w:b/>
          <w:color w:val="auto"/>
          <w:sz w:val="24"/>
          <w:u w:val="single"/>
        </w:rPr>
      </w:pPr>
      <w:r>
        <w:rPr>
          <w:rFonts w:hint="eastAsia" w:ascii="方正仿宋_GBK" w:hAnsi="宋体" w:eastAsia="方正仿宋_GBK"/>
          <w:b/>
          <w:color w:val="auto"/>
          <w:sz w:val="24"/>
          <w:u w:val="single"/>
        </w:rPr>
        <w:t>备品备件及易损件</w:t>
      </w:r>
    </w:p>
    <w:p>
      <w:pPr>
        <w:snapToGrid w:val="0"/>
        <w:spacing w:line="400" w:lineRule="exact"/>
        <w:ind w:firstLine="480" w:firstLineChars="200"/>
        <w:rPr>
          <w:rFonts w:ascii="仿宋" w:eastAsia="仿宋" w:cs="宋体"/>
          <w:color w:val="auto"/>
          <w:kern w:val="0"/>
          <w:sz w:val="24"/>
        </w:rPr>
      </w:pPr>
      <w:r>
        <w:rPr>
          <w:rFonts w:hint="eastAsia" w:ascii="方正仿宋_GBK" w:hAnsi="宋体" w:eastAsia="方正仿宋_GBK"/>
          <w:color w:val="auto"/>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spacing w:before="0" w:after="0"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（三）报价要求</w:t>
      </w:r>
      <w:bookmarkEnd w:id="3"/>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报价包括完成本项目所需的设备或货物购买（制造）费、辅材费、运输费、装卸费、安装调试费、培训费及各种应纳的税费。因成交供应商自身原因造成漏报、少报皆由其自行承担责任，采购人不再补偿。</w:t>
      </w:r>
    </w:p>
    <w:p>
      <w:pPr>
        <w:pStyle w:val="3"/>
        <w:spacing w:before="0" w:after="0" w:line="400" w:lineRule="exact"/>
        <w:rPr>
          <w:rFonts w:ascii="方正仿宋_GBK" w:hAnsi="宋体" w:eastAsia="方正仿宋_GBK"/>
          <w:color w:val="auto"/>
          <w:sz w:val="24"/>
          <w:szCs w:val="24"/>
        </w:rPr>
      </w:pPr>
      <w:bookmarkStart w:id="5" w:name="_Toc511909618"/>
      <w:r>
        <w:rPr>
          <w:rFonts w:hint="eastAsia" w:ascii="方正仿宋_GBK" w:hAnsi="宋体" w:eastAsia="方正仿宋_GBK"/>
          <w:color w:val="auto"/>
          <w:sz w:val="24"/>
          <w:szCs w:val="24"/>
        </w:rPr>
        <w:t>（四）付款方式</w:t>
      </w:r>
      <w:bookmarkEnd w:id="4"/>
      <w:bookmarkEnd w:id="5"/>
      <w:bookmarkStart w:id="6" w:name="_Toc511909619"/>
      <w:bookmarkStart w:id="7" w:name="_Toc344475123"/>
      <w:r>
        <w:rPr>
          <w:rFonts w:hint="eastAsia" w:ascii="方正仿宋_GBK" w:hAnsi="宋体" w:eastAsia="方正仿宋_GBK"/>
          <w:color w:val="auto"/>
          <w:sz w:val="24"/>
          <w:szCs w:val="24"/>
        </w:rPr>
        <w:t xml:space="preserve">  </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安装验收合格后30日内支付合同金额95％。余款5％作为质保金，质保期满后无息一次性付清。</w:t>
      </w:r>
    </w:p>
    <w:p>
      <w:pPr>
        <w:pStyle w:val="3"/>
        <w:spacing w:before="0" w:after="0"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（五）知识产权</w:t>
      </w:r>
      <w:bookmarkEnd w:id="6"/>
      <w:bookmarkEnd w:id="7"/>
    </w:p>
    <w:p>
      <w:pPr>
        <w:snapToGrid w:val="0"/>
        <w:spacing w:line="400" w:lineRule="exact"/>
        <w:ind w:firstLine="540"/>
        <w:rPr>
          <w:rFonts w:ascii="方正仿宋_GBK" w:hAnsi="宋体" w:eastAsia="方正仿宋_GBK"/>
          <w:color w:val="auto"/>
          <w:sz w:val="24"/>
        </w:rPr>
      </w:pPr>
      <w:r>
        <w:rPr>
          <w:rFonts w:hint="eastAsia" w:ascii="方正仿宋_GBK" w:hAnsi="宋体" w:eastAsia="方正仿宋_GBK"/>
          <w:color w:val="auto"/>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spacing w:before="0" w:after="0" w:line="400" w:lineRule="exact"/>
        <w:rPr>
          <w:rFonts w:ascii="方正仿宋_GBK" w:hAnsi="宋体" w:eastAsia="方正仿宋_GBK"/>
          <w:color w:val="auto"/>
          <w:sz w:val="24"/>
          <w:szCs w:val="24"/>
        </w:rPr>
      </w:pPr>
      <w:bookmarkStart w:id="8" w:name="_Toc511909620"/>
      <w:bookmarkStart w:id="9" w:name="_Toc344475125"/>
      <w:r>
        <w:rPr>
          <w:rFonts w:hint="eastAsia" w:ascii="方正仿宋_GBK" w:hAnsi="宋体" w:eastAsia="方正仿宋_GBK"/>
          <w:color w:val="auto"/>
          <w:sz w:val="24"/>
          <w:szCs w:val="24"/>
        </w:rPr>
        <w:t>（六）其他</w:t>
      </w:r>
      <w:bookmarkEnd w:id="8"/>
    </w:p>
    <w:bookmarkEnd w:id="9"/>
    <w:p>
      <w:pPr>
        <w:snapToGrid w:val="0"/>
        <w:spacing w:line="400" w:lineRule="exact"/>
        <w:ind w:firstLine="540"/>
        <w:rPr>
          <w:rFonts w:ascii="方正仿宋_GBK" w:hAnsi="宋体" w:eastAsia="方正仿宋_GBK"/>
          <w:color w:val="auto"/>
          <w:sz w:val="24"/>
        </w:rPr>
      </w:pPr>
      <w:r>
        <w:rPr>
          <w:rFonts w:hint="eastAsia" w:ascii="方正仿宋_GBK" w:hAnsi="宋体" w:eastAsia="方正仿宋_GBK"/>
          <w:color w:val="auto"/>
          <w:sz w:val="24"/>
        </w:rPr>
        <w:t>（一）供应商必须在响应文件中对以上条款和服务承诺明确列出，承诺内容必须达到本篇及询价公告其他条款的要求。</w:t>
      </w:r>
    </w:p>
    <w:p>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（二）其他未尽事宜由供需双方在采购合同中详细约定。</w:t>
      </w: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bookmarkStart w:id="33" w:name="_GoBack"/>
      <w:bookmarkEnd w:id="33"/>
    </w:p>
    <w:p>
      <w:pPr>
        <w:pStyle w:val="2"/>
        <w:spacing w:before="0" w:after="0" w:line="360" w:lineRule="auto"/>
        <w:jc w:val="left"/>
        <w:rPr>
          <w:rFonts w:hint="eastAsia" w:ascii="方正小标宋_GBK" w:hAnsi="宋体" w:eastAsia="方正小标宋_GBK"/>
          <w:b w:val="0"/>
          <w:color w:val="auto"/>
          <w:sz w:val="36"/>
          <w:szCs w:val="30"/>
        </w:rPr>
      </w:pPr>
      <w:r>
        <w:rPr>
          <w:rFonts w:hint="eastAsia"/>
          <w:color w:val="auto"/>
        </w:rPr>
        <w:t>七、响应文件格式要求</w:t>
      </w:r>
      <w:bookmarkStart w:id="10" w:name="_Toc511909622"/>
      <w:bookmarkStart w:id="11" w:name="_Toc12789072"/>
    </w:p>
    <w:bookmarkEnd w:id="10"/>
    <w:bookmarkEnd w:id="11"/>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一、经济部分</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（一）报价函</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（二）明细报价表</w:t>
      </w:r>
    </w:p>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二、技术部分</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技术响应偏离表</w:t>
      </w:r>
    </w:p>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三、服务部分</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服务响应偏离表</w:t>
      </w:r>
    </w:p>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四、资格条件及其他</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（一）营业执照（副本）或事业单位法人证书（副本）复印件</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（二）组织机构代码证复印件</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（三）法定代表人身份证明书（格式）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（四）法定代表人授权委托书（格式）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（五）书面声明（格式）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（六）特定资格条件证书或证明文件</w:t>
      </w:r>
    </w:p>
    <w:p>
      <w:pPr>
        <w:spacing w:line="440" w:lineRule="exact"/>
        <w:ind w:firstLine="480" w:firstLineChars="200"/>
        <w:rPr>
          <w:rFonts w:ascii="方正仿宋_GBK" w:hAnsi="宋体" w:eastAsia="方正仿宋_GBK"/>
          <w:color w:val="auto"/>
          <w:sz w:val="24"/>
        </w:rPr>
      </w:pPr>
      <w:r>
        <w:rPr>
          <w:rFonts w:hint="eastAsia" w:ascii="方正仿宋_GBK" w:hAnsi="仿宋" w:eastAsia="方正仿宋_GBK"/>
          <w:color w:val="auto"/>
          <w:sz w:val="24"/>
        </w:rPr>
        <w:t>说明：供应商按“五证合一”登记制度办理营业执照的，</w:t>
      </w:r>
      <w:r>
        <w:rPr>
          <w:rFonts w:hint="eastAsia" w:ascii="方正仿宋_GBK" w:hAnsi="仿宋" w:eastAsia="方正仿宋_GBK" w:cs="宋体"/>
          <w:color w:val="auto"/>
          <w:kern w:val="0"/>
          <w:sz w:val="24"/>
        </w:rPr>
        <w:t>组织机构代码证、税务登记证（副本）和社会保险登记证</w:t>
      </w:r>
      <w:r>
        <w:rPr>
          <w:rFonts w:hint="eastAsia" w:ascii="方正仿宋_GBK" w:hAnsi="仿宋" w:eastAsia="方正仿宋_GBK"/>
          <w:color w:val="auto"/>
          <w:sz w:val="24"/>
        </w:rPr>
        <w:t>以供应商所提供的营业执照（副本）复印件为准。</w:t>
      </w:r>
    </w:p>
    <w:p>
      <w:pPr>
        <w:spacing w:line="440" w:lineRule="exact"/>
        <w:ind w:firstLine="482" w:firstLineChars="200"/>
        <w:rPr>
          <w:rFonts w:ascii="方正仿宋_GBK" w:hAnsi="宋体" w:eastAsia="方正仿宋_GBK"/>
          <w:color w:val="auto"/>
          <w:sz w:val="24"/>
        </w:rPr>
      </w:pPr>
      <w:r>
        <w:rPr>
          <w:rFonts w:hint="eastAsia" w:ascii="方正仿宋_GBK" w:hAnsi="宋体" w:eastAsia="方正仿宋_GBK"/>
          <w:b/>
          <w:color w:val="auto"/>
          <w:sz w:val="24"/>
        </w:rPr>
        <w:t>五、其他与项目有关的资料（自附）</w:t>
      </w:r>
    </w:p>
    <w:p>
      <w:pPr>
        <w:snapToGrid w:val="0"/>
        <w:spacing w:line="360" w:lineRule="auto"/>
        <w:rPr>
          <w:rFonts w:ascii="宋体" w:hAnsi="宋体"/>
          <w:color w:val="auto"/>
          <w:sz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ascii="方正仿宋_GBK" w:hAnsi="宋体" w:eastAsia="方正仿宋_GBK"/>
          <w:color w:val="auto"/>
          <w:sz w:val="24"/>
          <w:szCs w:val="24"/>
        </w:rPr>
      </w:pPr>
      <w:bookmarkStart w:id="12" w:name="_Toc511909623"/>
      <w:bookmarkStart w:id="13" w:name="_Toc313888360"/>
      <w:bookmarkStart w:id="14" w:name="_Toc342913419"/>
      <w:bookmarkStart w:id="15" w:name="_Toc313008356"/>
      <w:bookmarkStart w:id="16" w:name="_Toc12789073"/>
      <w:bookmarkStart w:id="17" w:name="_Toc283382454"/>
      <w:r>
        <w:rPr>
          <w:rFonts w:hint="eastAsia" w:ascii="方正仿宋_GBK" w:hAnsi="宋体" w:eastAsia="方正仿宋_GBK"/>
          <w:color w:val="auto"/>
          <w:sz w:val="24"/>
          <w:szCs w:val="24"/>
        </w:rPr>
        <w:t>一、经济部分</w:t>
      </w:r>
      <w:bookmarkEnd w:id="12"/>
      <w:bookmarkEnd w:id="13"/>
      <w:bookmarkEnd w:id="14"/>
      <w:bookmarkEnd w:id="15"/>
    </w:p>
    <w:bookmarkEnd w:id="16"/>
    <w:bookmarkEnd w:id="17"/>
    <w:p>
      <w:pPr>
        <w:tabs>
          <w:tab w:val="left" w:pos="6300"/>
        </w:tabs>
        <w:snapToGrid w:val="0"/>
        <w:spacing w:line="360"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（一）报价函</w:t>
      </w:r>
    </w:p>
    <w:p>
      <w:pPr>
        <w:tabs>
          <w:tab w:val="left" w:pos="6300"/>
        </w:tabs>
        <w:snapToGrid w:val="0"/>
        <w:spacing w:line="480" w:lineRule="exact"/>
        <w:jc w:val="center"/>
        <w:outlineLvl w:val="0"/>
        <w:rPr>
          <w:rFonts w:ascii="方正仿宋_GBK" w:hAnsi="宋体" w:eastAsia="方正仿宋_GBK"/>
          <w:b/>
          <w:color w:val="auto"/>
          <w:sz w:val="28"/>
          <w:szCs w:val="28"/>
        </w:rPr>
      </w:pPr>
      <w:r>
        <w:rPr>
          <w:rFonts w:hint="eastAsia" w:ascii="方正仿宋_GBK" w:hAnsi="宋体" w:eastAsia="方正仿宋_GBK"/>
          <w:b/>
          <w:color w:val="auto"/>
          <w:sz w:val="28"/>
          <w:szCs w:val="28"/>
        </w:rPr>
        <w:t>询价报价函</w:t>
      </w:r>
    </w:p>
    <w:p>
      <w:pPr>
        <w:tabs>
          <w:tab w:val="left" w:pos="6300"/>
        </w:tabs>
        <w:snapToGrid w:val="0"/>
        <w:spacing w:line="312" w:lineRule="auto"/>
        <w:rPr>
          <w:rFonts w:ascii="方正仿宋_GBK" w:hAnsi="宋体" w:eastAsia="方正仿宋_GBK"/>
          <w:color w:val="auto"/>
          <w:sz w:val="24"/>
          <w:u w:val="single"/>
        </w:rPr>
      </w:pPr>
    </w:p>
    <w:p>
      <w:pPr>
        <w:tabs>
          <w:tab w:val="left" w:pos="6300"/>
        </w:tabs>
        <w:snapToGrid w:val="0"/>
        <w:spacing w:line="312" w:lineRule="auto"/>
        <w:rPr>
          <w:rFonts w:ascii="方正仿宋_GBK" w:hAnsi="宋体" w:eastAsia="方正仿宋_GBK"/>
          <w:color w:val="auto"/>
          <w:sz w:val="24"/>
        </w:rPr>
      </w:pPr>
      <w:r>
        <w:rPr>
          <w:rFonts w:hint="eastAsia" w:ascii="方正仿宋_GBK" w:hAnsi="宋体" w:eastAsia="方正仿宋_GBK"/>
          <w:color w:val="auto"/>
          <w:sz w:val="24"/>
          <w:u w:val="single"/>
        </w:rPr>
        <w:t>重庆市荣昌区人民医院</w:t>
      </w:r>
      <w:r>
        <w:rPr>
          <w:rFonts w:hint="eastAsia" w:ascii="方正仿宋_GBK" w:hAnsi="宋体" w:eastAsia="方正仿宋_GBK"/>
          <w:color w:val="auto"/>
          <w:sz w:val="24"/>
        </w:rPr>
        <w:t>：</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我方收到____________________________（项目名称）的采购文件，经详细研究，决定参加该项目的竞价。</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1.愿意按照采购文件中的一切要求，提供本项目的交货及技术服务，最终报价为人民币大写：</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元整；人民币小写：</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元。</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2.我方现提交的响应文件为：</w:t>
      </w:r>
      <w:r>
        <w:rPr>
          <w:rFonts w:hint="eastAsia" w:ascii="方正仿宋_GBK" w:hAnsi="宋体" w:eastAsia="方正仿宋_GBK"/>
          <w:color w:val="auto"/>
          <w:sz w:val="24"/>
          <w:lang w:eastAsia="zh-CN"/>
        </w:rPr>
        <w:t>响应文件</w:t>
      </w:r>
      <w:r>
        <w:rPr>
          <w:rFonts w:hint="eastAsia" w:ascii="方正仿宋_GBK" w:hAnsi="宋体" w:eastAsia="方正仿宋_GBK"/>
          <w:color w:val="auto"/>
          <w:sz w:val="24"/>
          <w:u w:val="single"/>
        </w:rPr>
        <w:t>壹</w:t>
      </w:r>
      <w:r>
        <w:rPr>
          <w:rFonts w:hint="eastAsia" w:ascii="方正仿宋_GBK" w:hAnsi="宋体" w:eastAsia="方正仿宋_GBK"/>
          <w:color w:val="auto"/>
          <w:sz w:val="24"/>
        </w:rPr>
        <w:t>份。</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3.我方承诺：本次报价及相应承诺的有效期为90天。</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5.若我方若有违规行为，接受按照《中华人民共和国政府采购法》</w:t>
      </w:r>
      <w:r>
        <w:rPr>
          <w:rFonts w:hint="eastAsia" w:ascii="方正仿宋_GBK" w:hAnsi="宋体" w:eastAsia="方正仿宋_GBK"/>
          <w:color w:val="auto"/>
          <w:sz w:val="24"/>
          <w:lang w:eastAsia="zh-CN"/>
        </w:rPr>
        <w:t>等</w:t>
      </w:r>
      <w:r>
        <w:rPr>
          <w:rFonts w:hint="eastAsia" w:ascii="方正仿宋_GBK" w:hAnsi="宋体" w:eastAsia="方正仿宋_GBK"/>
          <w:color w:val="auto"/>
          <w:sz w:val="24"/>
        </w:rPr>
        <w:t>相关规定的惩罚。</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6.我方若成为成交供应商，将按照最终竞价结果签订合同，并且严格履行合同义务。本承诺函将成为合同不可分割的一部分，与合同具有同等的法律效力。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rPr>
        <w:t>7.</w:t>
      </w:r>
      <w:r>
        <w:rPr>
          <w:rFonts w:hint="eastAsia" w:ascii="方正仿宋_GBK" w:hAnsi="宋体" w:eastAsia="方正仿宋_GBK"/>
          <w:color w:val="auto"/>
          <w:sz w:val="24"/>
          <w:szCs w:val="28"/>
        </w:rPr>
        <w:t>我方未</w:t>
      </w:r>
      <w:r>
        <w:rPr>
          <w:rFonts w:ascii="方正仿宋_GBK" w:hAnsi="宋体" w:eastAsia="方正仿宋_GBK"/>
          <w:color w:val="auto"/>
          <w:sz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 xml:space="preserve">地址：  </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电话：                           传真：</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网址：                           邮编：</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联系人：</w:t>
      </w:r>
    </w:p>
    <w:p>
      <w:pPr>
        <w:snapToGrid w:val="0"/>
        <w:spacing w:line="312" w:lineRule="auto"/>
        <w:ind w:firstLine="480" w:firstLineChars="200"/>
        <w:rPr>
          <w:rFonts w:ascii="方正仿宋_GBK" w:hAnsi="宋体" w:eastAsia="方正仿宋_GBK"/>
          <w:color w:val="auto"/>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rPr>
        <w:t xml:space="preserve">                               年   月   日</w:t>
      </w:r>
    </w:p>
    <w:p>
      <w:pPr>
        <w:tabs>
          <w:tab w:val="left" w:pos="2895"/>
        </w:tabs>
        <w:spacing w:line="360"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（二）明细报价表</w:t>
      </w:r>
    </w:p>
    <w:p>
      <w:pPr>
        <w:jc w:val="center"/>
        <w:rPr>
          <w:rFonts w:ascii="方正仿宋_GBK" w:eastAsia="方正仿宋_GBK"/>
          <w:b/>
          <w:color w:val="auto"/>
          <w:sz w:val="28"/>
          <w:szCs w:val="28"/>
        </w:rPr>
      </w:pPr>
      <w:r>
        <w:rPr>
          <w:rFonts w:hint="eastAsia" w:ascii="方正仿宋_GBK" w:eastAsia="方正仿宋_GBK"/>
          <w:b/>
          <w:color w:val="auto"/>
          <w:sz w:val="28"/>
          <w:szCs w:val="28"/>
        </w:rPr>
        <w:t>明细报价表</w:t>
      </w:r>
    </w:p>
    <w:p>
      <w:pPr>
        <w:spacing w:line="360" w:lineRule="auto"/>
        <w:rPr>
          <w:rFonts w:ascii="方正仿宋_GBK" w:hAnsi="宋体" w:eastAsia="方正仿宋_GBK"/>
          <w:color w:val="auto"/>
          <w:sz w:val="24"/>
        </w:rPr>
      </w:pPr>
      <w:r>
        <w:rPr>
          <w:rFonts w:hint="eastAsia" w:ascii="方正仿宋_GBK" w:hAnsi="宋体" w:eastAsia="方正仿宋_GBK"/>
          <w:color w:val="auto"/>
          <w:sz w:val="24"/>
        </w:rPr>
        <w:t>项目编号：无</w:t>
      </w:r>
    </w:p>
    <w:p>
      <w:pPr>
        <w:spacing w:line="360" w:lineRule="auto"/>
        <w:rPr>
          <w:rFonts w:ascii="方正仿宋_GBK" w:hAnsi="宋体" w:eastAsia="方正仿宋_GBK"/>
          <w:color w:val="auto"/>
          <w:sz w:val="24"/>
          <w:u w:val="single"/>
        </w:rPr>
      </w:pPr>
      <w:r>
        <w:rPr>
          <w:rFonts w:hint="eastAsia" w:ascii="方正仿宋_GBK" w:hAnsi="宋体" w:eastAsia="方正仿宋_GBK"/>
          <w:color w:val="auto"/>
          <w:sz w:val="24"/>
        </w:rPr>
        <w:t>项目名称：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产品名称</w:t>
            </w:r>
          </w:p>
        </w:tc>
        <w:tc>
          <w:tcPr>
            <w:tcW w:w="1721"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品牌及产地</w:t>
            </w:r>
          </w:p>
        </w:tc>
        <w:tc>
          <w:tcPr>
            <w:tcW w:w="1417"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制造商名称</w:t>
            </w:r>
          </w:p>
        </w:tc>
        <w:tc>
          <w:tcPr>
            <w:tcW w:w="1250"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规格型号</w:t>
            </w:r>
          </w:p>
        </w:tc>
        <w:tc>
          <w:tcPr>
            <w:tcW w:w="867"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数量</w:t>
            </w:r>
          </w:p>
        </w:tc>
        <w:tc>
          <w:tcPr>
            <w:tcW w:w="1186" w:type="dxa"/>
            <w:vAlign w:val="center"/>
          </w:tcPr>
          <w:p>
            <w:pPr>
              <w:pStyle w:val="6"/>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单价</w:t>
            </w:r>
          </w:p>
          <w:p>
            <w:pPr>
              <w:pStyle w:val="6"/>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   ）</w:t>
            </w:r>
          </w:p>
        </w:tc>
        <w:tc>
          <w:tcPr>
            <w:tcW w:w="1233"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合计</w:t>
            </w:r>
          </w:p>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ascii="方正仿宋_GBK" w:hAnsi="宋体" w:eastAsia="方正仿宋_GBK"/>
                <w:color w:val="auto"/>
                <w:sz w:val="24"/>
                <w:szCs w:val="28"/>
              </w:rPr>
            </w:pPr>
          </w:p>
        </w:tc>
        <w:tc>
          <w:tcPr>
            <w:tcW w:w="1721" w:type="dxa"/>
            <w:tcBorders>
              <w:bottom w:val="single" w:color="auto" w:sz="4" w:space="0"/>
            </w:tcBorders>
            <w:vAlign w:val="center"/>
          </w:tcPr>
          <w:p>
            <w:pPr>
              <w:jc w:val="center"/>
              <w:rPr>
                <w:rFonts w:ascii="方正仿宋_GBK" w:hAnsi="宋体" w:eastAsia="方正仿宋_GBK"/>
                <w:color w:val="auto"/>
                <w:sz w:val="24"/>
                <w:szCs w:val="28"/>
              </w:rPr>
            </w:pPr>
          </w:p>
        </w:tc>
        <w:tc>
          <w:tcPr>
            <w:tcW w:w="1417" w:type="dxa"/>
            <w:tcBorders>
              <w:bottom w:val="single" w:color="auto" w:sz="4" w:space="0"/>
            </w:tcBorders>
            <w:vAlign w:val="center"/>
          </w:tcPr>
          <w:p>
            <w:pPr>
              <w:jc w:val="center"/>
              <w:rPr>
                <w:rFonts w:ascii="方正仿宋_GBK" w:hAnsi="宋体" w:eastAsia="方正仿宋_GBK"/>
                <w:color w:val="auto"/>
                <w:sz w:val="24"/>
                <w:szCs w:val="28"/>
              </w:rPr>
            </w:pPr>
          </w:p>
        </w:tc>
        <w:tc>
          <w:tcPr>
            <w:tcW w:w="1250" w:type="dxa"/>
            <w:tcBorders>
              <w:bottom w:val="single" w:color="auto" w:sz="4" w:space="0"/>
            </w:tcBorders>
            <w:vAlign w:val="center"/>
          </w:tcPr>
          <w:p>
            <w:pPr>
              <w:jc w:val="center"/>
              <w:rPr>
                <w:rFonts w:ascii="方正仿宋_GBK" w:hAnsi="宋体" w:eastAsia="方正仿宋_GBK"/>
                <w:color w:val="auto"/>
                <w:sz w:val="24"/>
                <w:szCs w:val="28"/>
              </w:rPr>
            </w:pPr>
          </w:p>
        </w:tc>
        <w:tc>
          <w:tcPr>
            <w:tcW w:w="867" w:type="dxa"/>
            <w:tcBorders>
              <w:bottom w:val="single" w:color="auto" w:sz="4" w:space="0"/>
            </w:tcBorders>
            <w:vAlign w:val="center"/>
          </w:tcPr>
          <w:p>
            <w:pPr>
              <w:jc w:val="center"/>
              <w:rPr>
                <w:rFonts w:ascii="方正仿宋_GBK" w:hAnsi="宋体" w:eastAsia="方正仿宋_GBK"/>
                <w:color w:val="auto"/>
                <w:sz w:val="24"/>
                <w:szCs w:val="28"/>
              </w:rPr>
            </w:pPr>
          </w:p>
        </w:tc>
        <w:tc>
          <w:tcPr>
            <w:tcW w:w="1186" w:type="dxa"/>
            <w:tcBorders>
              <w:bottom w:val="single" w:color="auto" w:sz="4" w:space="0"/>
            </w:tcBorders>
            <w:vAlign w:val="center"/>
          </w:tcPr>
          <w:p>
            <w:pPr>
              <w:jc w:val="center"/>
              <w:rPr>
                <w:rFonts w:ascii="方正仿宋_GBK" w:hAnsi="宋体" w:eastAsia="方正仿宋_GBK"/>
                <w:color w:val="auto"/>
                <w:sz w:val="24"/>
                <w:szCs w:val="28"/>
              </w:rPr>
            </w:pPr>
          </w:p>
        </w:tc>
        <w:tc>
          <w:tcPr>
            <w:tcW w:w="1233" w:type="dxa"/>
            <w:tcBorders>
              <w:bottom w:val="single" w:color="auto" w:sz="4" w:space="0"/>
            </w:tcBorders>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ascii="方正仿宋_GBK" w:hAnsi="宋体" w:eastAsia="方正仿宋_GBK"/>
                <w:color w:val="auto"/>
                <w:sz w:val="24"/>
                <w:szCs w:val="28"/>
              </w:rPr>
            </w:pPr>
          </w:p>
        </w:tc>
        <w:tc>
          <w:tcPr>
            <w:tcW w:w="1721" w:type="dxa"/>
            <w:tcBorders>
              <w:bottom w:val="single" w:color="auto" w:sz="4" w:space="0"/>
            </w:tcBorders>
            <w:vAlign w:val="center"/>
          </w:tcPr>
          <w:p>
            <w:pPr>
              <w:jc w:val="center"/>
              <w:rPr>
                <w:rFonts w:ascii="方正仿宋_GBK" w:hAnsi="宋体" w:eastAsia="方正仿宋_GBK"/>
                <w:color w:val="auto"/>
                <w:sz w:val="24"/>
                <w:szCs w:val="28"/>
              </w:rPr>
            </w:pPr>
          </w:p>
        </w:tc>
        <w:tc>
          <w:tcPr>
            <w:tcW w:w="1417" w:type="dxa"/>
            <w:tcBorders>
              <w:bottom w:val="single" w:color="auto" w:sz="4" w:space="0"/>
            </w:tcBorders>
            <w:vAlign w:val="center"/>
          </w:tcPr>
          <w:p>
            <w:pPr>
              <w:jc w:val="center"/>
              <w:rPr>
                <w:rFonts w:ascii="方正仿宋_GBK" w:hAnsi="宋体" w:eastAsia="方正仿宋_GBK"/>
                <w:color w:val="auto"/>
                <w:sz w:val="24"/>
                <w:szCs w:val="28"/>
              </w:rPr>
            </w:pPr>
          </w:p>
        </w:tc>
        <w:tc>
          <w:tcPr>
            <w:tcW w:w="1250" w:type="dxa"/>
            <w:tcBorders>
              <w:bottom w:val="single" w:color="auto" w:sz="4" w:space="0"/>
            </w:tcBorders>
            <w:vAlign w:val="center"/>
          </w:tcPr>
          <w:p>
            <w:pPr>
              <w:jc w:val="center"/>
              <w:rPr>
                <w:rFonts w:ascii="方正仿宋_GBK" w:hAnsi="宋体" w:eastAsia="方正仿宋_GBK"/>
                <w:color w:val="auto"/>
                <w:sz w:val="24"/>
                <w:szCs w:val="28"/>
              </w:rPr>
            </w:pPr>
          </w:p>
        </w:tc>
        <w:tc>
          <w:tcPr>
            <w:tcW w:w="867" w:type="dxa"/>
            <w:tcBorders>
              <w:bottom w:val="single" w:color="auto" w:sz="4" w:space="0"/>
            </w:tcBorders>
            <w:vAlign w:val="center"/>
          </w:tcPr>
          <w:p>
            <w:pPr>
              <w:jc w:val="center"/>
              <w:rPr>
                <w:rFonts w:ascii="方正仿宋_GBK" w:hAnsi="宋体" w:eastAsia="方正仿宋_GBK"/>
                <w:color w:val="auto"/>
                <w:sz w:val="24"/>
                <w:szCs w:val="28"/>
              </w:rPr>
            </w:pPr>
          </w:p>
        </w:tc>
        <w:tc>
          <w:tcPr>
            <w:tcW w:w="1186" w:type="dxa"/>
            <w:tcBorders>
              <w:bottom w:val="single" w:color="auto" w:sz="4" w:space="0"/>
            </w:tcBorders>
            <w:vAlign w:val="center"/>
          </w:tcPr>
          <w:p>
            <w:pPr>
              <w:jc w:val="center"/>
              <w:rPr>
                <w:rFonts w:ascii="方正仿宋_GBK" w:hAnsi="宋体" w:eastAsia="方正仿宋_GBK"/>
                <w:color w:val="auto"/>
                <w:sz w:val="24"/>
                <w:szCs w:val="28"/>
              </w:rPr>
            </w:pPr>
          </w:p>
        </w:tc>
        <w:tc>
          <w:tcPr>
            <w:tcW w:w="1233" w:type="dxa"/>
            <w:tcBorders>
              <w:bottom w:val="single" w:color="auto" w:sz="4" w:space="0"/>
            </w:tcBorders>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pPr>
              <w:jc w:val="center"/>
              <w:rPr>
                <w:rFonts w:ascii="方正仿宋_GBK" w:hAnsi="宋体" w:eastAsia="方正仿宋_GBK"/>
                <w:color w:val="auto"/>
                <w:sz w:val="24"/>
                <w:szCs w:val="28"/>
              </w:rPr>
            </w:pPr>
          </w:p>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bl>
    <w:p>
      <w:pPr>
        <w:snapToGrid w:val="0"/>
        <w:spacing w:line="500" w:lineRule="exact"/>
        <w:rPr>
          <w:rFonts w:ascii="方正仿宋_GBK" w:hAnsi="宋体" w:eastAsia="方正仿宋_GBK"/>
          <w:color w:val="auto"/>
          <w:sz w:val="24"/>
          <w:szCs w:val="28"/>
        </w:rPr>
      </w:pPr>
    </w:p>
    <w:p>
      <w:pPr>
        <w:snapToGrid w:val="0"/>
        <w:spacing w:line="5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注：1.请供应商完整填写本表。</w:t>
      </w:r>
    </w:p>
    <w:p>
      <w:pPr>
        <w:snapToGrid w:val="0"/>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2.该表可扩展</w:t>
      </w:r>
      <w:bookmarkStart w:id="18" w:name="OLE_LINK1"/>
      <w:bookmarkStart w:id="19" w:name="OLE_LINK2"/>
      <w:r>
        <w:rPr>
          <w:rFonts w:hint="eastAsia" w:ascii="方正仿宋_GBK" w:hAnsi="宋体" w:eastAsia="方正仿宋_GBK"/>
          <w:color w:val="auto"/>
          <w:sz w:val="24"/>
          <w:szCs w:val="28"/>
        </w:rPr>
        <w:t>，并逐页签字或盖章。</w:t>
      </w:r>
      <w:bookmarkEnd w:id="18"/>
      <w:bookmarkEnd w:id="19"/>
    </w:p>
    <w:p>
      <w:pPr>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szCs w:val="28"/>
        </w:rPr>
        <w:t xml:space="preserve">       </w:t>
      </w:r>
    </w:p>
    <w:p>
      <w:pPr>
        <w:pStyle w:val="10"/>
        <w:spacing w:line="360" w:lineRule="auto"/>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pPr>
        <w:spacing w:line="360" w:lineRule="auto"/>
        <w:rPr>
          <w:color w:val="auto"/>
        </w:rPr>
      </w:pPr>
      <w:r>
        <w:rPr>
          <w:rFonts w:hint="eastAsia" w:ascii="方正仿宋_GBK" w:hAnsi="宋体" w:eastAsia="方正仿宋_GBK"/>
          <w:color w:val="auto"/>
          <w:sz w:val="24"/>
        </w:rPr>
        <w:t xml:space="preserve">                                                    供应商名称（公章）：</w:t>
      </w:r>
    </w:p>
    <w:p>
      <w:pPr>
        <w:spacing w:line="360" w:lineRule="auto"/>
        <w:ind w:right="480" w:firstLine="6480" w:firstLineChars="2700"/>
        <w:rPr>
          <w:rFonts w:ascii="方正仿宋_GBK" w:hAnsi="宋体" w:eastAsia="方正仿宋_GBK"/>
          <w:color w:val="auto"/>
          <w:sz w:val="24"/>
        </w:rPr>
      </w:pPr>
      <w:r>
        <w:rPr>
          <w:rFonts w:hint="eastAsia" w:ascii="方正仿宋_GBK" w:hAnsi="宋体" w:eastAsia="方正仿宋_GBK"/>
          <w:color w:val="auto"/>
          <w:sz w:val="24"/>
        </w:rPr>
        <w:t>年     月    日</w:t>
      </w:r>
    </w:p>
    <w:p>
      <w:pPr>
        <w:snapToGrid w:val="0"/>
        <w:spacing w:line="360" w:lineRule="auto"/>
        <w:ind w:firstLine="480" w:firstLineChars="200"/>
        <w:rPr>
          <w:rFonts w:ascii="方正仿宋_GBK" w:hAnsi="宋体" w:eastAsia="方正仿宋_GBK"/>
          <w:color w:val="auto"/>
          <w:sz w:val="24"/>
          <w:bdr w:val="single" w:color="auto" w:sz="4" w:space="0"/>
        </w:rPr>
        <w:sectPr>
          <w:headerReference r:id="rId3" w:type="default"/>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ascii="方正仿宋_GBK" w:hAnsi="宋体" w:eastAsia="方正仿宋_GBK"/>
          <w:color w:val="auto"/>
          <w:sz w:val="24"/>
          <w:szCs w:val="24"/>
        </w:rPr>
      </w:pPr>
      <w:bookmarkStart w:id="20" w:name="_Toc342913420"/>
      <w:bookmarkStart w:id="21" w:name="_Toc313888361"/>
      <w:bookmarkStart w:id="22" w:name="_Toc313008357"/>
      <w:bookmarkStart w:id="23" w:name="_Toc511909624"/>
      <w:r>
        <w:rPr>
          <w:rFonts w:hint="eastAsia" w:ascii="方正仿宋_GBK" w:hAnsi="宋体" w:eastAsia="方正仿宋_GBK"/>
          <w:color w:val="auto"/>
          <w:sz w:val="24"/>
          <w:szCs w:val="24"/>
        </w:rPr>
        <w:t>二、技术部分</w:t>
      </w:r>
      <w:bookmarkEnd w:id="20"/>
      <w:bookmarkEnd w:id="21"/>
      <w:bookmarkEnd w:id="22"/>
      <w:bookmarkEnd w:id="23"/>
    </w:p>
    <w:p>
      <w:pPr>
        <w:snapToGrid w:val="0"/>
        <w:spacing w:line="360" w:lineRule="auto"/>
        <w:jc w:val="center"/>
        <w:rPr>
          <w:rFonts w:ascii="方正仿宋_GBK" w:hAnsi="宋体" w:eastAsia="方正仿宋_GBK"/>
          <w:b/>
          <w:color w:val="auto"/>
          <w:sz w:val="28"/>
          <w:szCs w:val="28"/>
        </w:rPr>
      </w:pPr>
      <w:r>
        <w:rPr>
          <w:rFonts w:hint="eastAsia" w:ascii="方正仿宋_GBK" w:hAnsi="宋体" w:eastAsia="方正仿宋_GBK"/>
          <w:b/>
          <w:color w:val="auto"/>
          <w:sz w:val="28"/>
          <w:szCs w:val="28"/>
        </w:rPr>
        <w:t>技术响应偏离表</w:t>
      </w:r>
    </w:p>
    <w:p>
      <w:pPr>
        <w:pStyle w:val="6"/>
        <w:tabs>
          <w:tab w:val="left" w:pos="6300"/>
        </w:tabs>
        <w:snapToGrid w:val="0"/>
        <w:spacing w:line="500" w:lineRule="exact"/>
        <w:ind w:firstLine="480" w:firstLineChars="200"/>
        <w:outlineLvl w:val="0"/>
        <w:rPr>
          <w:rFonts w:ascii="方正仿宋_GBK" w:hAnsi="宋体" w:eastAsia="方正仿宋_GBK"/>
          <w:color w:val="auto"/>
          <w:sz w:val="24"/>
        </w:rPr>
      </w:pPr>
      <w:r>
        <w:rPr>
          <w:rFonts w:hint="eastAsia" w:ascii="方正仿宋_GBK" w:hAnsi="宋体" w:eastAsia="方正仿宋_GBK"/>
          <w:color w:val="auto"/>
          <w:sz w:val="24"/>
        </w:rPr>
        <w:t>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序号</w:t>
            </w:r>
          </w:p>
        </w:tc>
        <w:tc>
          <w:tcPr>
            <w:tcW w:w="2844"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采购需求</w:t>
            </w:r>
          </w:p>
        </w:tc>
        <w:tc>
          <w:tcPr>
            <w:tcW w:w="2952"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响应情况</w:t>
            </w:r>
          </w:p>
        </w:tc>
        <w:tc>
          <w:tcPr>
            <w:tcW w:w="2212"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bl>
    <w:p>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供应商：                                      法定代表人授权代表：</w:t>
      </w:r>
    </w:p>
    <w:p>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720" w:firstLineChars="30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（签字或盖章）</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1.本表即为对本项目“六、项目参数”中所列技术要求进行比较和响应；</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2.该表必须逐条如实填写，若未作实质性参数描述，该供应商将失去成为成交供应商的资格，仅保留其合格供应商的身份。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3.该表可扩展</w:t>
      </w:r>
      <w:r>
        <w:rPr>
          <w:rFonts w:hint="eastAsia" w:ascii="方正仿宋_GBK" w:hAnsi="宋体" w:eastAsia="方正仿宋_GBK"/>
          <w:color w:val="auto"/>
          <w:sz w:val="24"/>
          <w:szCs w:val="28"/>
        </w:rPr>
        <w:t>，并逐页签字或盖章</w:t>
      </w:r>
      <w:r>
        <w:rPr>
          <w:rFonts w:hint="eastAsia" w:ascii="方正仿宋_GBK" w:hAnsi="宋体" w:eastAsia="方正仿宋_GBK"/>
          <w:color w:val="auto"/>
          <w:sz w:val="24"/>
        </w:rPr>
        <w:t>；</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4.可附相关技术支撑材料（格式自定）。</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5.根据响应情况在“差异说明”项填写正偏离或负偏离及原因，完全符合的填写“无差异”。</w:t>
      </w:r>
    </w:p>
    <w:p>
      <w:pPr>
        <w:pStyle w:val="3"/>
        <w:spacing w:before="0" w:after="0" w:line="360" w:lineRule="auto"/>
        <w:rPr>
          <w:rFonts w:ascii="方正仿宋_GBK" w:hAnsi="宋体" w:eastAsia="方正仿宋_GBK"/>
          <w:color w:val="auto"/>
          <w:sz w:val="24"/>
          <w:szCs w:val="24"/>
        </w:rPr>
      </w:pPr>
      <w:r>
        <w:rPr>
          <w:rFonts w:ascii="方正仿宋_GBK" w:eastAsia="方正仿宋_GBK"/>
          <w:b w:val="0"/>
          <w:color w:val="auto"/>
        </w:rPr>
        <w:br w:type="page"/>
      </w:r>
      <w:bookmarkStart w:id="24" w:name="_Toc511909625"/>
      <w:bookmarkStart w:id="25" w:name="_Toc313008358"/>
      <w:bookmarkStart w:id="26" w:name="_Toc313888362"/>
      <w:bookmarkStart w:id="27" w:name="_Toc342913421"/>
      <w:r>
        <w:rPr>
          <w:rFonts w:hint="eastAsia" w:ascii="方正仿宋_GBK" w:hAnsi="宋体" w:eastAsia="方正仿宋_GBK"/>
          <w:color w:val="auto"/>
          <w:sz w:val="24"/>
          <w:szCs w:val="24"/>
        </w:rPr>
        <w:t>三、商务部分</w:t>
      </w:r>
      <w:bookmarkEnd w:id="24"/>
    </w:p>
    <w:p>
      <w:pPr>
        <w:snapToGrid w:val="0"/>
        <w:spacing w:line="360" w:lineRule="auto"/>
        <w:jc w:val="center"/>
        <w:rPr>
          <w:rFonts w:ascii="方正仿宋_GBK" w:hAnsi="宋体" w:eastAsia="方正仿宋_GBK"/>
          <w:b/>
          <w:color w:val="auto"/>
          <w:sz w:val="28"/>
          <w:szCs w:val="28"/>
        </w:rPr>
      </w:pPr>
      <w:r>
        <w:rPr>
          <w:rFonts w:hint="eastAsia" w:ascii="方正仿宋_GBK" w:hAnsi="宋体" w:eastAsia="方正仿宋_GBK"/>
          <w:b/>
          <w:color w:val="auto"/>
          <w:sz w:val="28"/>
          <w:szCs w:val="28"/>
        </w:rPr>
        <w:t>商务响应偏离表</w:t>
      </w:r>
    </w:p>
    <w:p>
      <w:pPr>
        <w:snapToGrid w:val="0"/>
        <w:ind w:firstLine="465"/>
        <w:rPr>
          <w:rFonts w:ascii="方正仿宋_GBK" w:hAnsi="宋体" w:eastAsia="方正仿宋_GBK"/>
          <w:color w:val="auto"/>
          <w:sz w:val="24"/>
        </w:rPr>
      </w:pPr>
      <w:r>
        <w:rPr>
          <w:rFonts w:hint="eastAsia" w:ascii="方正仿宋_GBK" w:hAnsi="宋体" w:eastAsia="方正仿宋_GBK"/>
          <w:color w:val="auto"/>
          <w:sz w:val="24"/>
        </w:rPr>
        <w:t>项目名称：</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rPr>
              <w:t>序号</w:t>
            </w:r>
          </w:p>
        </w:tc>
        <w:tc>
          <w:tcPr>
            <w:tcW w:w="3184"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rPr>
              <w:t>项目需求</w:t>
            </w:r>
          </w:p>
        </w:tc>
        <w:tc>
          <w:tcPr>
            <w:tcW w:w="2438"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rPr>
              <w:t>响应情况</w:t>
            </w:r>
          </w:p>
        </w:tc>
        <w:tc>
          <w:tcPr>
            <w:tcW w:w="2359"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bl>
    <w:p>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供应商：                                       法定代表人授权代表：</w:t>
      </w:r>
    </w:p>
    <w:p>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360" w:firstLineChars="15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（签字或盖章）</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1.本表即为对本项目“七、商务要求”中所列服务要求进行比较和响应，该表可扩展；</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2.该表必须按照采购要求逐条如实填写，若未作实质性参数描述，该供应商将失去成为成交供应商的资格，仅保留其合格供应商的身份。</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3 根据响应情况在“差异说明”项填写正偏离或负偏离及原因，完全符合的填写“无差异”。</w:t>
      </w:r>
    </w:p>
    <w:p>
      <w:pPr>
        <w:pStyle w:val="3"/>
        <w:spacing w:before="0" w:after="0" w:line="360" w:lineRule="auto"/>
        <w:rPr>
          <w:rFonts w:ascii="方正仿宋_GBK" w:hAnsi="宋体" w:eastAsia="方正仿宋_GBK"/>
          <w:color w:val="auto"/>
          <w:sz w:val="24"/>
          <w:szCs w:val="24"/>
        </w:rPr>
      </w:pPr>
      <w:bookmarkStart w:id="28" w:name="_Toc511909626"/>
      <w:r>
        <w:rPr>
          <w:rFonts w:hint="eastAsia" w:ascii="方正仿宋_GBK" w:hAnsi="宋体" w:eastAsia="方正仿宋_GBK"/>
          <w:color w:val="auto"/>
          <w:sz w:val="24"/>
          <w:szCs w:val="24"/>
        </w:rPr>
        <w:t>四、</w:t>
      </w:r>
      <w:bookmarkEnd w:id="25"/>
      <w:bookmarkEnd w:id="26"/>
      <w:bookmarkEnd w:id="27"/>
      <w:r>
        <w:rPr>
          <w:rFonts w:hint="eastAsia" w:ascii="方正仿宋_GBK" w:hAnsi="宋体" w:eastAsia="方正仿宋_GBK"/>
          <w:color w:val="auto"/>
          <w:sz w:val="24"/>
          <w:szCs w:val="24"/>
        </w:rPr>
        <w:t>资格条件及其他</w:t>
      </w:r>
      <w:bookmarkEnd w:id="28"/>
      <w:bookmarkStart w:id="29" w:name="_Toc313008359"/>
      <w:bookmarkStart w:id="30" w:name="_Toc313888363"/>
      <w:bookmarkStart w:id="31" w:name="_Toc342913422"/>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（一）营业执照（副本）或事业单位法人证书（副本）扫描件</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（二）组织机构代码证扫描件</w:t>
      </w: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widowControl/>
        <w:ind w:firstLine="420" w:firstLineChars="200"/>
        <w:jc w:val="left"/>
        <w:rPr>
          <w:rFonts w:ascii="方正仿宋_GBK" w:hAnsi="宋体" w:eastAsia="方正仿宋_GBK"/>
          <w:color w:val="auto"/>
          <w:sz w:val="28"/>
          <w:szCs w:val="28"/>
        </w:rPr>
      </w:pPr>
      <w:r>
        <w:rPr>
          <w:rFonts w:ascii="方正仿宋_GBK" w:hAnsi="宋体" w:eastAsia="方正仿宋_GBK"/>
          <w:color w:val="auto"/>
        </w:rPr>
        <w:br w:type="page"/>
      </w:r>
      <w:r>
        <w:rPr>
          <w:rFonts w:hint="eastAsia" w:ascii="方正仿宋_GBK" w:hAnsi="宋体" w:eastAsia="方正仿宋_GBK"/>
          <w:color w:val="auto"/>
          <w:sz w:val="28"/>
          <w:szCs w:val="28"/>
        </w:rPr>
        <w:t>（三）法定代表人身份证明书（格式）</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重庆市荣昌区人民医院</w:t>
      </w:r>
      <w:r>
        <w:rPr>
          <w:rFonts w:hint="eastAsia" w:ascii="方正仿宋_GBK" w:hAnsi="宋体" w:eastAsia="方正仿宋_GBK"/>
          <w:color w:val="auto"/>
          <w:sz w:val="24"/>
        </w:rPr>
        <w:t>：</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年   月   日</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（附：法定代表人身份证正反面复印件）</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8"/>
          <w:szCs w:val="28"/>
        </w:rPr>
      </w:pPr>
      <w:r>
        <w:rPr>
          <w:color w:val="auto"/>
        </w:rPr>
        <w:br w:type="column"/>
      </w:r>
      <w:r>
        <w:rPr>
          <w:rFonts w:hint="eastAsia" w:ascii="方正仿宋_GBK" w:hAnsi="宋体" w:eastAsia="方正仿宋_GBK"/>
          <w:color w:val="auto"/>
          <w:sz w:val="28"/>
          <w:szCs w:val="28"/>
        </w:rPr>
        <w:t>（四）法定代表人授权委托书（格式）</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（采购人名称）：</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（供应商单位名称）的法定代表人，特授权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（被授权人姓名及身份证代码）代表我单位全权办理上述项目的竞价、签约等具体工作，并签署全部有关文件、协议及合同。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szCs w:val="28"/>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（五）书面声明</w:t>
      </w:r>
    </w:p>
    <w:p>
      <w:pPr>
        <w:tabs>
          <w:tab w:val="left" w:pos="6300"/>
        </w:tabs>
        <w:snapToGrid w:val="0"/>
        <w:spacing w:line="500" w:lineRule="exact"/>
        <w:ind w:firstLine="560" w:firstLineChars="200"/>
        <w:jc w:val="center"/>
        <w:rPr>
          <w:rFonts w:ascii="方正仿宋_GBK" w:hAnsi="宋体" w:eastAsia="方正仿宋_GBK"/>
          <w:color w:val="auto"/>
          <w:sz w:val="28"/>
          <w:szCs w:val="28"/>
        </w:rPr>
      </w:pPr>
      <w:r>
        <w:rPr>
          <w:rFonts w:hint="eastAsia" w:ascii="方正仿宋_GBK" w:hAnsi="宋体" w:eastAsia="方正仿宋_GBK"/>
          <w:color w:val="auto"/>
          <w:sz w:val="28"/>
          <w:szCs w:val="28"/>
        </w:rPr>
        <w:t>书面声明</w:t>
      </w:r>
    </w:p>
    <w:p>
      <w:pPr>
        <w:tabs>
          <w:tab w:val="left" w:pos="6300"/>
        </w:tabs>
        <w:snapToGrid w:val="0"/>
        <w:spacing w:line="500" w:lineRule="exact"/>
        <w:ind w:firstLine="480" w:firstLineChars="200"/>
        <w:jc w:val="center"/>
        <w:rPr>
          <w:rFonts w:ascii="方正仿宋_GBK" w:hAnsi="宋体" w:eastAsia="方正仿宋_GBK"/>
          <w:color w:val="auto"/>
          <w:sz w:val="24"/>
          <w:szCs w:val="28"/>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重庆市荣昌区人民医院  </w:t>
      </w:r>
      <w:r>
        <w:rPr>
          <w:rFonts w:hint="eastAsia" w:ascii="方正仿宋_GBK" w:hAnsi="宋体" w:eastAsia="方正仿宋_GBK"/>
          <w:color w:val="auto"/>
          <w:sz w:val="24"/>
        </w:rPr>
        <w:t>：</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w:t>
      </w:r>
      <w:r>
        <w:rPr>
          <w:rFonts w:hint="eastAsia" w:ascii="方正仿宋_GBK" w:hAnsi="仿宋" w:eastAsia="方正仿宋_GBK"/>
          <w:color w:val="auto"/>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特此声明。</w:t>
      </w:r>
    </w:p>
    <w:p>
      <w:pPr>
        <w:tabs>
          <w:tab w:val="left" w:pos="6300"/>
        </w:tabs>
        <w:snapToGrid w:val="0"/>
        <w:spacing w:line="500" w:lineRule="exact"/>
        <w:ind w:firstLine="570"/>
        <w:rPr>
          <w:rFonts w:ascii="方正仿宋_GBK" w:hAnsi="宋体" w:eastAsia="方正仿宋_GBK"/>
          <w:color w:val="auto"/>
          <w:sz w:val="24"/>
        </w:rPr>
      </w:pPr>
    </w:p>
    <w:p>
      <w:pPr>
        <w:snapToGrid w:val="0"/>
        <w:spacing w:line="400" w:lineRule="exact"/>
        <w:ind w:firstLine="480" w:firstLineChars="20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right="424"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ind w:firstLine="420" w:firstLineChars="200"/>
        <w:rPr>
          <w:rFonts w:ascii="方正仿宋_GBK" w:hAnsi="宋体" w:eastAsia="方正仿宋_GBK"/>
          <w:color w:val="auto"/>
        </w:rPr>
      </w:pPr>
      <w:r>
        <w:rPr>
          <w:rFonts w:ascii="宋体" w:hAnsi="宋体"/>
          <w:color w:val="auto"/>
        </w:rPr>
        <w:br w:type="page"/>
      </w:r>
      <w:r>
        <w:rPr>
          <w:rFonts w:hint="eastAsia" w:ascii="方正仿宋_GBK" w:hAnsi="宋体" w:eastAsia="方正仿宋_GBK"/>
          <w:color w:val="auto"/>
        </w:rPr>
        <w:t>（六）特定资格条件证书或证明文件</w:t>
      </w:r>
    </w:p>
    <w:p>
      <w:pPr>
        <w:tabs>
          <w:tab w:val="left" w:pos="6300"/>
        </w:tabs>
        <w:snapToGrid w:val="0"/>
        <w:spacing w:line="500" w:lineRule="exact"/>
        <w:ind w:firstLine="560"/>
        <w:rPr>
          <w:rFonts w:ascii="方正仿宋_GBK" w:hAnsi="仿宋" w:eastAsia="方正仿宋_GBK"/>
          <w:color w:val="auto"/>
        </w:rPr>
      </w:pPr>
      <w:r>
        <w:rPr>
          <w:rFonts w:hint="eastAsia" w:ascii="方正仿宋_GBK" w:hAnsi="仿宋" w:eastAsia="方正仿宋_GBK"/>
          <w:color w:val="auto"/>
        </w:rPr>
        <w:t>说明：供应商按“五证合一”登记制度办理营业执照的，组织机构代码证、税务登记证（副本）和社会保险登记证以供应商所提供的营业执照（副本）复印件为准。</w:t>
      </w:r>
    </w:p>
    <w:p>
      <w:pPr>
        <w:pStyle w:val="3"/>
        <w:spacing w:before="0" w:after="0" w:line="360" w:lineRule="auto"/>
        <w:rPr>
          <w:rFonts w:ascii="方正仿宋_GBK" w:hAnsi="宋体" w:eastAsia="方正仿宋_GBK"/>
          <w:color w:val="auto"/>
          <w:sz w:val="24"/>
          <w:szCs w:val="24"/>
        </w:rPr>
      </w:pPr>
      <w:r>
        <w:rPr>
          <w:rFonts w:ascii="方正仿宋_GBK" w:hAnsi="宋体" w:eastAsia="方正仿宋_GBK"/>
          <w:color w:val="auto"/>
          <w:sz w:val="24"/>
          <w:szCs w:val="24"/>
        </w:rPr>
        <w:br w:type="page"/>
      </w:r>
      <w:bookmarkStart w:id="32" w:name="_Toc511909627"/>
      <w:r>
        <w:rPr>
          <w:rFonts w:hint="eastAsia" w:ascii="方正仿宋_GBK" w:hAnsi="宋体" w:eastAsia="方正仿宋_GBK"/>
          <w:color w:val="auto"/>
          <w:sz w:val="24"/>
          <w:szCs w:val="24"/>
        </w:rPr>
        <w:t>五、</w:t>
      </w:r>
      <w:bookmarkEnd w:id="29"/>
      <w:bookmarkEnd w:id="30"/>
      <w:bookmarkEnd w:id="31"/>
      <w:r>
        <w:rPr>
          <w:rFonts w:hint="eastAsia" w:ascii="方正仿宋_GBK" w:eastAsia="方正仿宋_GBK"/>
          <w:color w:val="auto"/>
          <w:sz w:val="24"/>
          <w:szCs w:val="24"/>
        </w:rPr>
        <w:t>其他</w:t>
      </w:r>
      <w:bookmarkEnd w:id="32"/>
      <w:r>
        <w:rPr>
          <w:rFonts w:hint="eastAsia" w:ascii="方正仿宋_GBK" w:hAnsi="宋体" w:eastAsia="方正仿宋_GBK"/>
          <w:color w:val="auto"/>
          <w:sz w:val="24"/>
        </w:rPr>
        <w:t>与项目有关的资料</w:t>
      </w:r>
      <w:r>
        <w:rPr>
          <w:rFonts w:hint="eastAsia" w:ascii="方正仿宋_GBK" w:hAnsi="仿宋" w:eastAsia="方正仿宋_GBK"/>
          <w:color w:val="auto"/>
        </w:rPr>
        <w:t>（自附）</w:t>
      </w:r>
    </w:p>
    <w:p>
      <w:pPr>
        <w:rPr>
          <w:color w:val="auto"/>
        </w:rPr>
      </w:pPr>
    </w:p>
    <w:sectPr>
      <w:pgSz w:w="11906" w:h="16838"/>
      <w:pgMar w:top="1588"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315D0"/>
    <w:multiLevelType w:val="singleLevel"/>
    <w:tmpl w:val="BA2315D0"/>
    <w:lvl w:ilvl="0" w:tentative="0">
      <w:start w:val="1"/>
      <w:numFmt w:val="decimal"/>
      <w:lvlText w:val="%1."/>
      <w:lvlJc w:val="left"/>
      <w:pPr>
        <w:ind w:left="425" w:hanging="425"/>
      </w:pPr>
      <w:rPr>
        <w:rFonts w:hint="default"/>
      </w:rPr>
    </w:lvl>
  </w:abstractNum>
  <w:abstractNum w:abstractNumId="1">
    <w:nsid w:val="0E407DCD"/>
    <w:multiLevelType w:val="multilevel"/>
    <w:tmpl w:val="0E407DCD"/>
    <w:lvl w:ilvl="0" w:tentative="0">
      <w:start w:val="1"/>
      <w:numFmt w:val="decimal"/>
      <w:lvlText w:val="%1."/>
      <w:lvlJc w:val="left"/>
      <w:pPr>
        <w:ind w:left="425" w:hanging="425"/>
      </w:pPr>
      <w:rPr>
        <w:rFonts w:hint="default"/>
      </w:rPr>
    </w:lvl>
    <w:lvl w:ilvl="1" w:tentative="0">
      <w:start w:val="1"/>
      <w:numFmt w:val="decimal"/>
      <w:lvlText w:val="3.%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177E609D"/>
    <w:multiLevelType w:val="singleLevel"/>
    <w:tmpl w:val="177E609D"/>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6A"/>
    <w:rsid w:val="00001507"/>
    <w:rsid w:val="00005574"/>
    <w:rsid w:val="00005637"/>
    <w:rsid w:val="00005E9D"/>
    <w:rsid w:val="00023C35"/>
    <w:rsid w:val="000363F3"/>
    <w:rsid w:val="00043FE2"/>
    <w:rsid w:val="000545DA"/>
    <w:rsid w:val="00081BC6"/>
    <w:rsid w:val="00081F74"/>
    <w:rsid w:val="0009453E"/>
    <w:rsid w:val="00097352"/>
    <w:rsid w:val="000A0F8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455"/>
    <w:rsid w:val="0020392E"/>
    <w:rsid w:val="00212119"/>
    <w:rsid w:val="00213AB1"/>
    <w:rsid w:val="00221A1C"/>
    <w:rsid w:val="0022361D"/>
    <w:rsid w:val="002241C1"/>
    <w:rsid w:val="00225729"/>
    <w:rsid w:val="00236C44"/>
    <w:rsid w:val="00241D99"/>
    <w:rsid w:val="0024253A"/>
    <w:rsid w:val="00247BCF"/>
    <w:rsid w:val="0026303C"/>
    <w:rsid w:val="00272941"/>
    <w:rsid w:val="0028457B"/>
    <w:rsid w:val="0029155D"/>
    <w:rsid w:val="0029479E"/>
    <w:rsid w:val="002A4FCD"/>
    <w:rsid w:val="002A6122"/>
    <w:rsid w:val="002B0930"/>
    <w:rsid w:val="002C7B49"/>
    <w:rsid w:val="002D09F1"/>
    <w:rsid w:val="002D23E6"/>
    <w:rsid w:val="002F1608"/>
    <w:rsid w:val="002F491A"/>
    <w:rsid w:val="00302DA9"/>
    <w:rsid w:val="00307EF1"/>
    <w:rsid w:val="00323885"/>
    <w:rsid w:val="00332953"/>
    <w:rsid w:val="00333A2F"/>
    <w:rsid w:val="00335451"/>
    <w:rsid w:val="0033552F"/>
    <w:rsid w:val="00352D13"/>
    <w:rsid w:val="00353154"/>
    <w:rsid w:val="00353FA8"/>
    <w:rsid w:val="00371F72"/>
    <w:rsid w:val="00391094"/>
    <w:rsid w:val="00395DCA"/>
    <w:rsid w:val="0039618D"/>
    <w:rsid w:val="00396232"/>
    <w:rsid w:val="003A5C70"/>
    <w:rsid w:val="003C31D0"/>
    <w:rsid w:val="003C6D87"/>
    <w:rsid w:val="003E0C26"/>
    <w:rsid w:val="003E3B95"/>
    <w:rsid w:val="003F3A18"/>
    <w:rsid w:val="00400878"/>
    <w:rsid w:val="00410FA6"/>
    <w:rsid w:val="00415494"/>
    <w:rsid w:val="00423491"/>
    <w:rsid w:val="00431FF4"/>
    <w:rsid w:val="00436F64"/>
    <w:rsid w:val="0044416E"/>
    <w:rsid w:val="00444570"/>
    <w:rsid w:val="00444CA1"/>
    <w:rsid w:val="004471F3"/>
    <w:rsid w:val="00452783"/>
    <w:rsid w:val="00452CDF"/>
    <w:rsid w:val="00456AD2"/>
    <w:rsid w:val="00464691"/>
    <w:rsid w:val="00464FA5"/>
    <w:rsid w:val="004716B2"/>
    <w:rsid w:val="00486B80"/>
    <w:rsid w:val="004A0FAC"/>
    <w:rsid w:val="004A5E65"/>
    <w:rsid w:val="004B714E"/>
    <w:rsid w:val="004C3ECE"/>
    <w:rsid w:val="004D5163"/>
    <w:rsid w:val="004E319F"/>
    <w:rsid w:val="004E564A"/>
    <w:rsid w:val="004F2D8D"/>
    <w:rsid w:val="004F452C"/>
    <w:rsid w:val="004F6F14"/>
    <w:rsid w:val="005010E6"/>
    <w:rsid w:val="005057A5"/>
    <w:rsid w:val="00506F92"/>
    <w:rsid w:val="00514154"/>
    <w:rsid w:val="005202B4"/>
    <w:rsid w:val="00531FE6"/>
    <w:rsid w:val="00542577"/>
    <w:rsid w:val="00544958"/>
    <w:rsid w:val="005505EB"/>
    <w:rsid w:val="00566764"/>
    <w:rsid w:val="00567DCE"/>
    <w:rsid w:val="005731FC"/>
    <w:rsid w:val="0057389F"/>
    <w:rsid w:val="00574B9C"/>
    <w:rsid w:val="0058314C"/>
    <w:rsid w:val="005969D1"/>
    <w:rsid w:val="00596ACA"/>
    <w:rsid w:val="005B5F45"/>
    <w:rsid w:val="005B770E"/>
    <w:rsid w:val="005C399E"/>
    <w:rsid w:val="005D34F3"/>
    <w:rsid w:val="005D78A4"/>
    <w:rsid w:val="005E2B46"/>
    <w:rsid w:val="005F081B"/>
    <w:rsid w:val="005F4618"/>
    <w:rsid w:val="006064D7"/>
    <w:rsid w:val="00607B2C"/>
    <w:rsid w:val="00612591"/>
    <w:rsid w:val="00620910"/>
    <w:rsid w:val="00626944"/>
    <w:rsid w:val="00634788"/>
    <w:rsid w:val="00646D53"/>
    <w:rsid w:val="00650682"/>
    <w:rsid w:val="006507F3"/>
    <w:rsid w:val="00664DD7"/>
    <w:rsid w:val="00676C74"/>
    <w:rsid w:val="00682CB2"/>
    <w:rsid w:val="00683834"/>
    <w:rsid w:val="00685DE9"/>
    <w:rsid w:val="006866F4"/>
    <w:rsid w:val="00686B17"/>
    <w:rsid w:val="006A3BED"/>
    <w:rsid w:val="006D76CD"/>
    <w:rsid w:val="006F6D7B"/>
    <w:rsid w:val="007027A4"/>
    <w:rsid w:val="00707D50"/>
    <w:rsid w:val="00713E04"/>
    <w:rsid w:val="00715FE0"/>
    <w:rsid w:val="00723535"/>
    <w:rsid w:val="00726A7E"/>
    <w:rsid w:val="00736AED"/>
    <w:rsid w:val="00740482"/>
    <w:rsid w:val="00743952"/>
    <w:rsid w:val="007464D1"/>
    <w:rsid w:val="00746695"/>
    <w:rsid w:val="00751065"/>
    <w:rsid w:val="00752892"/>
    <w:rsid w:val="007541D5"/>
    <w:rsid w:val="0075431A"/>
    <w:rsid w:val="00757BBB"/>
    <w:rsid w:val="00762193"/>
    <w:rsid w:val="00762C85"/>
    <w:rsid w:val="00762EE8"/>
    <w:rsid w:val="00777056"/>
    <w:rsid w:val="00780422"/>
    <w:rsid w:val="007845C9"/>
    <w:rsid w:val="007B392E"/>
    <w:rsid w:val="007B6F5C"/>
    <w:rsid w:val="007B70DF"/>
    <w:rsid w:val="007C42E5"/>
    <w:rsid w:val="007D752F"/>
    <w:rsid w:val="007E602A"/>
    <w:rsid w:val="007E7B80"/>
    <w:rsid w:val="007F46C8"/>
    <w:rsid w:val="00800F3B"/>
    <w:rsid w:val="00810CAC"/>
    <w:rsid w:val="00835A44"/>
    <w:rsid w:val="008407FA"/>
    <w:rsid w:val="00847552"/>
    <w:rsid w:val="008507CE"/>
    <w:rsid w:val="00863BAA"/>
    <w:rsid w:val="00865737"/>
    <w:rsid w:val="00870195"/>
    <w:rsid w:val="008719A8"/>
    <w:rsid w:val="00873A0D"/>
    <w:rsid w:val="008810CF"/>
    <w:rsid w:val="0088110F"/>
    <w:rsid w:val="00897F5B"/>
    <w:rsid w:val="008A3339"/>
    <w:rsid w:val="008B2AF4"/>
    <w:rsid w:val="008B4587"/>
    <w:rsid w:val="008B64DB"/>
    <w:rsid w:val="008C6F81"/>
    <w:rsid w:val="008D1ABD"/>
    <w:rsid w:val="008D49F9"/>
    <w:rsid w:val="008E68A3"/>
    <w:rsid w:val="008F216F"/>
    <w:rsid w:val="008F45A5"/>
    <w:rsid w:val="00900A09"/>
    <w:rsid w:val="00901C99"/>
    <w:rsid w:val="009111C5"/>
    <w:rsid w:val="00911707"/>
    <w:rsid w:val="0093563A"/>
    <w:rsid w:val="00937373"/>
    <w:rsid w:val="00944FBA"/>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D4A2F"/>
    <w:rsid w:val="009E39A7"/>
    <w:rsid w:val="009E415D"/>
    <w:rsid w:val="009E76FF"/>
    <w:rsid w:val="009F0C4D"/>
    <w:rsid w:val="00A01D76"/>
    <w:rsid w:val="00A067EB"/>
    <w:rsid w:val="00A15EE7"/>
    <w:rsid w:val="00A20D4A"/>
    <w:rsid w:val="00A21E1E"/>
    <w:rsid w:val="00A2397D"/>
    <w:rsid w:val="00A42A4C"/>
    <w:rsid w:val="00A430D5"/>
    <w:rsid w:val="00A52D5C"/>
    <w:rsid w:val="00A632C3"/>
    <w:rsid w:val="00A6741D"/>
    <w:rsid w:val="00A74965"/>
    <w:rsid w:val="00A82434"/>
    <w:rsid w:val="00A84FFA"/>
    <w:rsid w:val="00A912C0"/>
    <w:rsid w:val="00A930B7"/>
    <w:rsid w:val="00A9640C"/>
    <w:rsid w:val="00A96985"/>
    <w:rsid w:val="00AB54EF"/>
    <w:rsid w:val="00AD2B1C"/>
    <w:rsid w:val="00AD34D4"/>
    <w:rsid w:val="00AD7470"/>
    <w:rsid w:val="00AE27F2"/>
    <w:rsid w:val="00AE288A"/>
    <w:rsid w:val="00AE7BA7"/>
    <w:rsid w:val="00AF31AB"/>
    <w:rsid w:val="00AF521A"/>
    <w:rsid w:val="00B06601"/>
    <w:rsid w:val="00B10437"/>
    <w:rsid w:val="00B24296"/>
    <w:rsid w:val="00B41E79"/>
    <w:rsid w:val="00B43860"/>
    <w:rsid w:val="00B45EB1"/>
    <w:rsid w:val="00B47476"/>
    <w:rsid w:val="00B51E27"/>
    <w:rsid w:val="00B568B5"/>
    <w:rsid w:val="00B579D6"/>
    <w:rsid w:val="00B62E19"/>
    <w:rsid w:val="00B65E3E"/>
    <w:rsid w:val="00B713BE"/>
    <w:rsid w:val="00B72545"/>
    <w:rsid w:val="00B73DD7"/>
    <w:rsid w:val="00B7454D"/>
    <w:rsid w:val="00B814C1"/>
    <w:rsid w:val="00B914B8"/>
    <w:rsid w:val="00B93338"/>
    <w:rsid w:val="00B958E6"/>
    <w:rsid w:val="00B95B25"/>
    <w:rsid w:val="00BA1661"/>
    <w:rsid w:val="00BA3036"/>
    <w:rsid w:val="00BA7082"/>
    <w:rsid w:val="00BA74CF"/>
    <w:rsid w:val="00BB309C"/>
    <w:rsid w:val="00BB5488"/>
    <w:rsid w:val="00BC1CAC"/>
    <w:rsid w:val="00BD2256"/>
    <w:rsid w:val="00BD4DD0"/>
    <w:rsid w:val="00BE0706"/>
    <w:rsid w:val="00BE0996"/>
    <w:rsid w:val="00BF15D9"/>
    <w:rsid w:val="00BF4A7D"/>
    <w:rsid w:val="00BF5DF2"/>
    <w:rsid w:val="00C03D72"/>
    <w:rsid w:val="00C238AC"/>
    <w:rsid w:val="00C24A9B"/>
    <w:rsid w:val="00C27438"/>
    <w:rsid w:val="00C3107B"/>
    <w:rsid w:val="00C3149D"/>
    <w:rsid w:val="00C32266"/>
    <w:rsid w:val="00C35624"/>
    <w:rsid w:val="00C36079"/>
    <w:rsid w:val="00C47597"/>
    <w:rsid w:val="00C562BF"/>
    <w:rsid w:val="00C77546"/>
    <w:rsid w:val="00C812A5"/>
    <w:rsid w:val="00C8596F"/>
    <w:rsid w:val="00C86209"/>
    <w:rsid w:val="00C92878"/>
    <w:rsid w:val="00CA5ACC"/>
    <w:rsid w:val="00CC3904"/>
    <w:rsid w:val="00CD0D39"/>
    <w:rsid w:val="00CD2889"/>
    <w:rsid w:val="00CD3A36"/>
    <w:rsid w:val="00CD679E"/>
    <w:rsid w:val="00CE3282"/>
    <w:rsid w:val="00CE36CC"/>
    <w:rsid w:val="00CE4B59"/>
    <w:rsid w:val="00D0621D"/>
    <w:rsid w:val="00D122FD"/>
    <w:rsid w:val="00D166C5"/>
    <w:rsid w:val="00D22CB4"/>
    <w:rsid w:val="00D364B2"/>
    <w:rsid w:val="00D37468"/>
    <w:rsid w:val="00D41E14"/>
    <w:rsid w:val="00D53856"/>
    <w:rsid w:val="00D5607B"/>
    <w:rsid w:val="00D57F15"/>
    <w:rsid w:val="00D60991"/>
    <w:rsid w:val="00D67BDD"/>
    <w:rsid w:val="00D67F46"/>
    <w:rsid w:val="00D714BD"/>
    <w:rsid w:val="00D7495E"/>
    <w:rsid w:val="00D75F84"/>
    <w:rsid w:val="00D76FB9"/>
    <w:rsid w:val="00DA26DB"/>
    <w:rsid w:val="00DA3EF1"/>
    <w:rsid w:val="00DA6AB4"/>
    <w:rsid w:val="00DB300C"/>
    <w:rsid w:val="00DC3673"/>
    <w:rsid w:val="00DC4887"/>
    <w:rsid w:val="00DC6D11"/>
    <w:rsid w:val="00DD0BAC"/>
    <w:rsid w:val="00DD559E"/>
    <w:rsid w:val="00DE2890"/>
    <w:rsid w:val="00DE36B3"/>
    <w:rsid w:val="00DF2A4A"/>
    <w:rsid w:val="00DF4661"/>
    <w:rsid w:val="00DF61D3"/>
    <w:rsid w:val="00E016C6"/>
    <w:rsid w:val="00E01AB6"/>
    <w:rsid w:val="00E02290"/>
    <w:rsid w:val="00E17281"/>
    <w:rsid w:val="00E17D62"/>
    <w:rsid w:val="00E22166"/>
    <w:rsid w:val="00E221A5"/>
    <w:rsid w:val="00E257A6"/>
    <w:rsid w:val="00E331FB"/>
    <w:rsid w:val="00E36C1F"/>
    <w:rsid w:val="00E4435D"/>
    <w:rsid w:val="00E5585A"/>
    <w:rsid w:val="00E55CA5"/>
    <w:rsid w:val="00E72A42"/>
    <w:rsid w:val="00E775BE"/>
    <w:rsid w:val="00E947AD"/>
    <w:rsid w:val="00E97E23"/>
    <w:rsid w:val="00EB10BA"/>
    <w:rsid w:val="00EB52FA"/>
    <w:rsid w:val="00EB5EC2"/>
    <w:rsid w:val="00EC270D"/>
    <w:rsid w:val="00EC4932"/>
    <w:rsid w:val="00EC7580"/>
    <w:rsid w:val="00ED0CA0"/>
    <w:rsid w:val="00ED27E0"/>
    <w:rsid w:val="00ED5226"/>
    <w:rsid w:val="00EE44AA"/>
    <w:rsid w:val="00EE4DC7"/>
    <w:rsid w:val="00EF4D5F"/>
    <w:rsid w:val="00F00E05"/>
    <w:rsid w:val="00F03B99"/>
    <w:rsid w:val="00F05D5F"/>
    <w:rsid w:val="00F07A8B"/>
    <w:rsid w:val="00F10739"/>
    <w:rsid w:val="00F1227B"/>
    <w:rsid w:val="00F217BB"/>
    <w:rsid w:val="00F26089"/>
    <w:rsid w:val="00F344E5"/>
    <w:rsid w:val="00F443D2"/>
    <w:rsid w:val="00F77EB0"/>
    <w:rsid w:val="00F83734"/>
    <w:rsid w:val="00F846BB"/>
    <w:rsid w:val="00F9153A"/>
    <w:rsid w:val="00F968D6"/>
    <w:rsid w:val="00F97632"/>
    <w:rsid w:val="00FA4945"/>
    <w:rsid w:val="00FA5282"/>
    <w:rsid w:val="00FD6714"/>
    <w:rsid w:val="00FD776E"/>
    <w:rsid w:val="00FE0A2E"/>
    <w:rsid w:val="00FE276C"/>
    <w:rsid w:val="00FE2FC9"/>
    <w:rsid w:val="00FF775D"/>
    <w:rsid w:val="05A43AC0"/>
    <w:rsid w:val="09A044BB"/>
    <w:rsid w:val="0D655F05"/>
    <w:rsid w:val="0EB53F15"/>
    <w:rsid w:val="0FA355E7"/>
    <w:rsid w:val="11DE153F"/>
    <w:rsid w:val="13EE029C"/>
    <w:rsid w:val="150A3BE6"/>
    <w:rsid w:val="15C95C11"/>
    <w:rsid w:val="16200AC5"/>
    <w:rsid w:val="17DD787C"/>
    <w:rsid w:val="1C9709E1"/>
    <w:rsid w:val="22D34CC6"/>
    <w:rsid w:val="237C4BDA"/>
    <w:rsid w:val="26AF7045"/>
    <w:rsid w:val="270464C7"/>
    <w:rsid w:val="2D0621F3"/>
    <w:rsid w:val="30F311EB"/>
    <w:rsid w:val="3C810D64"/>
    <w:rsid w:val="509945C3"/>
    <w:rsid w:val="51463ABA"/>
    <w:rsid w:val="53A11DCF"/>
    <w:rsid w:val="56B12A74"/>
    <w:rsid w:val="578F1856"/>
    <w:rsid w:val="58C71EE5"/>
    <w:rsid w:val="5D6F730D"/>
    <w:rsid w:val="6514718B"/>
    <w:rsid w:val="6AAD4C27"/>
    <w:rsid w:val="6BF738B0"/>
    <w:rsid w:val="6EB06B76"/>
    <w:rsid w:val="7161222B"/>
    <w:rsid w:val="760D30A1"/>
    <w:rsid w:val="76F60DF3"/>
    <w:rsid w:val="7B164F45"/>
    <w:rsid w:val="7E341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7"/>
    <w:qFormat/>
    <w:uiPriority w:val="0"/>
    <w:pPr>
      <w:keepNext/>
      <w:keepLines/>
      <w:spacing w:before="260" w:after="260" w:line="413" w:lineRule="auto"/>
      <w:outlineLvl w:val="2"/>
    </w:pPr>
    <w:rPr>
      <w:b/>
      <w:sz w:val="32"/>
      <w:szCs w:val="20"/>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unhideWhenUsed/>
    <w:qFormat/>
    <w:uiPriority w:val="99"/>
    <w:pPr>
      <w:spacing w:after="120" w:afterLines="0" w:afterAutospacing="0"/>
    </w:pPr>
  </w:style>
  <w:style w:type="paragraph" w:styleId="6">
    <w:name w:val="Date"/>
    <w:basedOn w:val="1"/>
    <w:next w:val="1"/>
    <w:link w:val="20"/>
    <w:qFormat/>
    <w:uiPriority w:val="0"/>
    <w:rPr>
      <w:rFonts w:asciiTheme="minorHAnsi" w:hAnsiTheme="minorHAnsi" w:eastAsiaTheme="minorEastAsia" w:cstheme="minorBidi"/>
      <w:sz w:val="28"/>
      <w:szCs w:val="22"/>
    </w:rPr>
  </w:style>
  <w:style w:type="paragraph" w:styleId="7">
    <w:name w:val="Balloon Text"/>
    <w:basedOn w:val="1"/>
    <w:link w:val="21"/>
    <w:semiHidden/>
    <w:unhideWhenUsed/>
    <w:qFormat/>
    <w:uiPriority w:val="99"/>
    <w:rPr>
      <w:sz w:val="18"/>
      <w:szCs w:val="18"/>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180" w:lineRule="auto"/>
      <w:jc w:val="center"/>
    </w:pPr>
    <w:rPr>
      <w:sz w:val="30"/>
      <w:szCs w:val="20"/>
    </w:rPr>
  </w:style>
  <w:style w:type="character" w:styleId="13">
    <w:name w:val="Strong"/>
    <w:link w:val="1"/>
    <w:qFormat/>
    <w:uiPriority w:val="0"/>
    <w:rPr>
      <w:rFonts w:cs="Times New Roman"/>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9"/>
    <w:qFormat/>
    <w:uiPriority w:val="0"/>
    <w:rPr>
      <w:sz w:val="18"/>
      <w:szCs w:val="18"/>
    </w:rPr>
  </w:style>
  <w:style w:type="character" w:customStyle="1" w:styleId="16">
    <w:name w:val="页脚 Char"/>
    <w:basedOn w:val="12"/>
    <w:link w:val="8"/>
    <w:semiHidden/>
    <w:qFormat/>
    <w:uiPriority w:val="99"/>
    <w:rPr>
      <w:sz w:val="18"/>
      <w:szCs w:val="18"/>
    </w:rPr>
  </w:style>
  <w:style w:type="character" w:customStyle="1" w:styleId="17">
    <w:name w:val="标题 3 Char"/>
    <w:basedOn w:val="12"/>
    <w:link w:val="3"/>
    <w:qFormat/>
    <w:uiPriority w:val="0"/>
    <w:rPr>
      <w:rFonts w:ascii="Times New Roman" w:hAnsi="Times New Roman" w:eastAsia="宋体" w:cs="Times New Roman"/>
      <w:b/>
      <w:sz w:val="32"/>
      <w:szCs w:val="20"/>
    </w:rPr>
  </w:style>
  <w:style w:type="character" w:customStyle="1" w:styleId="18">
    <w:name w:val="标题 2 Char"/>
    <w:basedOn w:val="12"/>
    <w:link w:val="2"/>
    <w:semiHidden/>
    <w:qFormat/>
    <w:uiPriority w:val="9"/>
    <w:rPr>
      <w:rFonts w:asciiTheme="majorHAnsi" w:hAnsiTheme="majorHAnsi" w:eastAsiaTheme="majorEastAsia" w:cstheme="majorBidi"/>
      <w:b/>
      <w:bCs/>
      <w:sz w:val="32"/>
      <w:szCs w:val="32"/>
    </w:rPr>
  </w:style>
  <w:style w:type="character" w:customStyle="1" w:styleId="19">
    <w:name w:val="日期 Char"/>
    <w:link w:val="6"/>
    <w:qFormat/>
    <w:uiPriority w:val="0"/>
    <w:rPr>
      <w:sz w:val="28"/>
    </w:rPr>
  </w:style>
  <w:style w:type="character" w:customStyle="1" w:styleId="20">
    <w:name w:val="日期 Char1"/>
    <w:basedOn w:val="12"/>
    <w:link w:val="6"/>
    <w:semiHidden/>
    <w:qFormat/>
    <w:uiPriority w:val="99"/>
    <w:rPr>
      <w:rFonts w:ascii="Times New Roman" w:hAnsi="Times New Roman" w:eastAsia="宋体" w:cs="Times New Roman"/>
      <w:szCs w:val="24"/>
    </w:rPr>
  </w:style>
  <w:style w:type="character" w:customStyle="1" w:styleId="21">
    <w:name w:val="批注框文本 Char"/>
    <w:basedOn w:val="12"/>
    <w:link w:val="7"/>
    <w:semiHidden/>
    <w:qFormat/>
    <w:uiPriority w:val="99"/>
    <w:rPr>
      <w:rFonts w:ascii="Times New Roman" w:hAnsi="Times New Roman" w:eastAsia="宋体" w:cs="Times New Roman"/>
      <w:sz w:val="18"/>
      <w:szCs w:val="18"/>
    </w:rPr>
  </w:style>
  <w:style w:type="character" w:customStyle="1" w:styleId="22">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23">
    <w:name w:val="列表段落1"/>
    <w:basedOn w:val="1"/>
    <w:qFormat/>
    <w:uiPriority w:val="0"/>
    <w:pPr>
      <w:ind w:firstLine="420" w:firstLineChars="200"/>
    </w:pPr>
  </w:style>
  <w:style w:type="paragraph" w:customStyle="1" w:styleId="24">
    <w:name w:val="列出段落1"/>
    <w:basedOn w:val="1"/>
    <w:qFormat/>
    <w:uiPriority w:val="0"/>
    <w:pPr>
      <w:ind w:firstLine="420" w:firstLineChars="200"/>
    </w:pPr>
  </w:style>
  <w:style w:type="paragraph" w:customStyle="1" w:styleId="25">
    <w:name w:val="样式1"/>
    <w:basedOn w:val="1"/>
    <w:next w:val="5"/>
    <w:qFormat/>
    <w:uiPriority w:val="0"/>
    <w:pPr>
      <w:keepNext/>
      <w:keepLines/>
      <w:spacing w:before="280" w:beforeLines="0" w:after="290" w:afterLines="0" w:line="372" w:lineRule="auto"/>
      <w:outlineLvl w:val="3"/>
    </w:pPr>
    <w:rPr>
      <w:rFonts w:hint="eastAsia" w:ascii="Arial" w:hAnsi="Arial" w:eastAsia="黑体"/>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931</Words>
  <Characters>5308</Characters>
  <Lines>44</Lines>
  <Paragraphs>12</Paragraphs>
  <TotalTime>7</TotalTime>
  <ScaleCrop>false</ScaleCrop>
  <LinksUpToDate>false</LinksUpToDate>
  <CharactersWithSpaces>6227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2020-08-31T10:38:00Z</dcterms:created>
  <dc:creator>user</dc:creator>
  <cp:lastModifiedBy>雁过被拔毛</cp:lastModifiedBy>
  <cp:lastPrinted>2021-08-11T04:07:00Z</cp:lastPrinted>
  <dcterms:modified xsi:type="dcterms:W3CDTF">2021-08-16T07:20:28Z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556059695_btnclosed</vt:lpwstr>
  </property>
  <property fmtid="{D5CDD505-2E9C-101B-9397-08002B2CF9AE}" pid="3" name="KSOProductBuildVer">
    <vt:lpwstr>2052-11.1.0.10700</vt:lpwstr>
  </property>
  <property fmtid="{D5CDD505-2E9C-101B-9397-08002B2CF9AE}" pid="4" name="ICV">
    <vt:lpwstr>AFFD24BC5F664B5CB848D007B7A73BB7</vt:lpwstr>
  </property>
</Properties>
</file>