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0"/>
        <w:rPr>
          <w:rFonts w:hint="eastAsia" w:ascii="方正黑体_GBK" w:hAnsi="黑体" w:eastAsia="方正黑体_GBK"/>
          <w:b/>
          <w:bCs/>
          <w:spacing w:val="80"/>
          <w:sz w:val="52"/>
          <w:szCs w:val="52"/>
        </w:rPr>
      </w:pPr>
    </w:p>
    <w:p>
      <w:pPr>
        <w:spacing w:line="360" w:lineRule="auto"/>
        <w:ind w:firstLine="0" w:firstLineChars="0"/>
        <w:jc w:val="center"/>
        <w:outlineLvl w:val="0"/>
        <w:rPr>
          <w:rFonts w:ascii="方正黑体_GBK" w:hAnsi="黑体" w:eastAsia="方正黑体_GBK"/>
          <w:b/>
          <w:bCs/>
          <w:spacing w:val="80"/>
          <w:sz w:val="120"/>
          <w:szCs w:val="120"/>
        </w:rPr>
      </w:pPr>
      <w:r>
        <w:rPr>
          <w:rFonts w:hint="eastAsia" w:ascii="方正黑体_GBK" w:hAnsi="宋体" w:eastAsia="方正黑体_GBK" w:cs="Times New Roman"/>
          <w:spacing w:val="80"/>
          <w:sz w:val="100"/>
          <w:szCs w:val="112"/>
        </w:rPr>
        <w:t>询比采购文件</w:t>
      </w:r>
    </w:p>
    <w:p>
      <w:pPr>
        <w:spacing w:line="360" w:lineRule="auto"/>
        <w:ind w:firstLine="0" w:firstLineChars="0"/>
        <w:jc w:val="center"/>
        <w:outlineLvl w:val="0"/>
        <w:rPr>
          <w:rFonts w:ascii="方正黑体_GBK" w:hAnsi="黑体" w:eastAsia="方正黑体_GBK"/>
          <w:spacing w:val="80"/>
          <w:sz w:val="44"/>
          <w:szCs w:val="44"/>
        </w:rPr>
      </w:pPr>
      <w:r>
        <w:rPr>
          <w:rFonts w:hint="eastAsia" w:ascii="方正黑体_GBK" w:hAnsi="黑体" w:eastAsia="方正黑体_GBK"/>
          <w:spacing w:val="80"/>
          <w:sz w:val="44"/>
          <w:szCs w:val="44"/>
        </w:rPr>
        <w:t>（综合评分法）</w:t>
      </w:r>
    </w:p>
    <w:p>
      <w:pPr>
        <w:spacing w:line="360" w:lineRule="auto"/>
        <w:ind w:firstLine="0" w:firstLineChars="0"/>
        <w:jc w:val="center"/>
        <w:rPr>
          <w:rFonts w:hint="eastAsia" w:ascii="黑体" w:hAnsi="黑体" w:eastAsia="黑体"/>
          <w:sz w:val="32"/>
          <w:lang w:eastAsia="zh-CN"/>
        </w:rPr>
      </w:pPr>
    </w:p>
    <w:p>
      <w:pPr>
        <w:spacing w:line="360" w:lineRule="auto"/>
        <w:ind w:left="1800" w:hanging="1800" w:hangingChars="500"/>
        <w:rPr>
          <w:rFonts w:ascii="方正黑体_GBK" w:hAnsi="黑体" w:eastAsia="方正黑体_GBK"/>
          <w:sz w:val="36"/>
          <w:szCs w:val="30"/>
        </w:rPr>
      </w:pPr>
    </w:p>
    <w:p>
      <w:pPr>
        <w:pStyle w:val="4"/>
        <w:pageBreakBefore w:val="0"/>
        <w:widowControl w:val="0"/>
        <w:kinsoku/>
        <w:wordWrap/>
        <w:overflowPunct/>
        <w:topLinePunct w:val="0"/>
        <w:autoSpaceDE/>
        <w:autoSpaceDN/>
        <w:bidi w:val="0"/>
        <w:adjustRightInd/>
        <w:snapToGrid/>
        <w:spacing w:before="48" w:after="48" w:line="400" w:lineRule="exact"/>
        <w:ind w:firstLine="964" w:firstLineChars="300"/>
        <w:textAlignment w:val="auto"/>
      </w:pPr>
    </w:p>
    <w:p>
      <w:pPr>
        <w:spacing w:line="480" w:lineRule="auto"/>
        <w:ind w:firstLine="980" w:firstLineChars="350"/>
        <w:jc w:val="left"/>
        <w:rPr>
          <w:rFonts w:hint="eastAsia" w:ascii="方正小标宋_GBK" w:hAnsi="宋体" w:eastAsia="方正小标宋_GBK" w:cs="Times New Roman"/>
          <w:sz w:val="28"/>
          <w:szCs w:val="28"/>
          <w:lang w:val="en-US" w:eastAsia="zh-CN"/>
        </w:rPr>
      </w:pPr>
      <w:r>
        <w:rPr>
          <w:rFonts w:hint="eastAsia" w:ascii="方正小标宋_GBK" w:hAnsi="宋体" w:eastAsia="方正小标宋_GBK" w:cs="Times New Roman"/>
          <w:sz w:val="28"/>
          <w:szCs w:val="28"/>
          <w:lang w:val="en-US" w:eastAsia="zh-CN"/>
        </w:rPr>
        <w:t xml:space="preserve">项目名称：2024年护士工作鞋采购    </w:t>
      </w:r>
    </w:p>
    <w:p>
      <w:pPr>
        <w:spacing w:line="480" w:lineRule="auto"/>
        <w:ind w:firstLine="980" w:firstLineChars="350"/>
        <w:jc w:val="left"/>
        <w:rPr>
          <w:rFonts w:hint="default" w:ascii="方正小标宋_GBK" w:hAnsi="宋体" w:eastAsia="方正小标宋_GBK" w:cs="Times New Roman"/>
          <w:sz w:val="28"/>
          <w:szCs w:val="28"/>
          <w:lang w:val="en-US" w:eastAsia="zh-CN"/>
        </w:rPr>
      </w:pPr>
    </w:p>
    <w:p>
      <w:pPr>
        <w:spacing w:line="480" w:lineRule="auto"/>
        <w:ind w:firstLine="980" w:firstLineChars="350"/>
        <w:jc w:val="left"/>
        <w:rPr>
          <w:rFonts w:hint="eastAsia" w:ascii="方正小标宋_GBK" w:hAnsi="宋体" w:eastAsia="方正小标宋_GBK" w:cs="Times New Roman"/>
          <w:sz w:val="28"/>
          <w:szCs w:val="28"/>
          <w:lang w:val="en-US" w:eastAsia="zh-CN"/>
        </w:rPr>
      </w:pPr>
      <w:r>
        <w:rPr>
          <w:rFonts w:hint="eastAsia" w:ascii="方正小标宋_GBK" w:hAnsi="宋体" w:eastAsia="方正小标宋_GBK" w:cs="Times New Roman"/>
          <w:sz w:val="28"/>
          <w:szCs w:val="28"/>
          <w:lang w:val="en-US" w:eastAsia="zh-CN"/>
        </w:rPr>
        <w:t>采 购 人：重庆市荣昌区人民医院</w:t>
      </w: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3220" w:firstLineChars="1150"/>
        <w:jc w:val="left"/>
        <w:rPr>
          <w:rFonts w:hint="eastAsia" w:ascii="宋体" w:hAnsi="宋体" w:cs="宋体"/>
          <w:b/>
          <w:bCs/>
          <w:color w:val="000000"/>
          <w:sz w:val="44"/>
          <w:szCs w:val="44"/>
          <w:lang w:eastAsia="zh-CN"/>
        </w:rPr>
        <w:sectPr>
          <w:footerReference r:id="rId3" w:type="default"/>
          <w:pgSz w:w="11905" w:h="16838"/>
          <w:pgMar w:top="1134" w:right="1134" w:bottom="1134" w:left="1134" w:header="851" w:footer="850" w:gutter="0"/>
          <w:pgNumType w:fmt="numberInDash"/>
          <w:cols w:space="0" w:num="1"/>
          <w:rtlGutter w:val="0"/>
          <w:docGrid w:linePitch="380" w:charSpace="0"/>
        </w:sectPr>
      </w:pPr>
      <w:r>
        <w:rPr>
          <w:rFonts w:hint="eastAsia" w:ascii="方正小标宋_GBK" w:hAnsi="宋体" w:eastAsia="方正小标宋_GBK" w:cs="Times New Roman"/>
          <w:sz w:val="28"/>
          <w:szCs w:val="28"/>
          <w:lang w:eastAsia="zh-CN"/>
        </w:rPr>
        <w:t>二〇二四年六月</w:t>
      </w:r>
    </w:p>
    <w:p>
      <w:pPr>
        <w:keepNext w:val="0"/>
        <w:keepLines w:val="0"/>
        <w:pageBreakBefore w:val="0"/>
        <w:tabs>
          <w:tab w:val="left" w:pos="1642"/>
          <w:tab w:val="center" w:pos="4770"/>
        </w:tabs>
        <w:kinsoku/>
        <w:overflowPunct/>
        <w:topLinePunct w:val="0"/>
        <w:autoSpaceDE/>
        <w:autoSpaceDN/>
        <w:bidi w:val="0"/>
        <w:adjustRightInd/>
        <w:snapToGrid/>
        <w:spacing w:line="460" w:lineRule="exact"/>
        <w:ind w:firstLine="3092" w:firstLineChars="700"/>
        <w:jc w:val="left"/>
        <w:textAlignment w:val="auto"/>
        <w:rPr>
          <w:rFonts w:hint="default" w:ascii="宋体" w:hAnsi="宋体" w:cs="宋体"/>
          <w:b/>
          <w:bCs/>
          <w:color w:val="000000"/>
          <w:sz w:val="44"/>
          <w:szCs w:val="44"/>
          <w:lang w:val="en-US"/>
        </w:rPr>
      </w:pPr>
      <w:r>
        <w:rPr>
          <w:rFonts w:hint="eastAsia" w:ascii="宋体" w:hAnsi="宋体" w:cs="宋体"/>
          <w:b/>
          <w:bCs/>
          <w:color w:val="000000"/>
          <w:sz w:val="44"/>
          <w:szCs w:val="44"/>
          <w:lang w:eastAsia="zh-CN"/>
        </w:rPr>
        <w:t>第一篇</w:t>
      </w:r>
      <w:r>
        <w:rPr>
          <w:rFonts w:hint="eastAsia" w:ascii="宋体" w:hAnsi="宋体" w:cs="宋体"/>
          <w:b/>
          <w:bCs/>
          <w:color w:val="000000"/>
          <w:sz w:val="44"/>
          <w:szCs w:val="44"/>
          <w:lang w:val="en-US" w:eastAsia="zh-CN"/>
        </w:rPr>
        <w:t xml:space="preserve"> 采购邀请书</w:t>
      </w:r>
    </w:p>
    <w:p>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both"/>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荣昌区人民医院拟对以下护士工作鞋询比采购，欢迎有资格的供应商前来参加，相关具体要求如下：</w:t>
      </w:r>
    </w:p>
    <w:p>
      <w:pPr>
        <w:widowControl/>
        <w:wordWrap w:val="0"/>
        <w:spacing w:line="460" w:lineRule="exact"/>
        <w:ind w:left="0" w:leftChars="0" w:firstLine="482" w:firstLineChars="200"/>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b/>
          <w:bCs/>
          <w:sz w:val="24"/>
          <w:lang w:val="en-US" w:eastAsia="zh-CN"/>
        </w:rPr>
        <w:t>一、询比采购内容</w:t>
      </w:r>
      <w:r>
        <w:rPr>
          <w:rFonts w:hint="eastAsia" w:ascii="方正仿宋_GBK" w:hAnsi="方正仿宋_GBK" w:eastAsia="方正仿宋_GBK" w:cs="方正仿宋_GBK"/>
          <w:sz w:val="24"/>
          <w:lang w:val="en-US" w:eastAsia="zh-CN"/>
        </w:rPr>
        <w:t xml:space="preserve"> </w:t>
      </w:r>
    </w:p>
    <w:tbl>
      <w:tblPr>
        <w:tblStyle w:val="1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488"/>
        <w:gridCol w:w="1773"/>
        <w:gridCol w:w="830"/>
        <w:gridCol w:w="147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3" w:type="dxa"/>
            <w:shd w:val="clear" w:color="auto" w:fill="auto"/>
            <w:noWrap w:val="0"/>
            <w:vAlign w:val="center"/>
          </w:tcPr>
          <w:p>
            <w:pPr>
              <w:widowControl w:val="0"/>
              <w:ind w:firstLine="0" w:firstLineChars="0"/>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序号</w:t>
            </w:r>
          </w:p>
        </w:tc>
        <w:tc>
          <w:tcPr>
            <w:tcW w:w="3488"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1773"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数量</w:t>
            </w:r>
          </w:p>
        </w:tc>
        <w:tc>
          <w:tcPr>
            <w:tcW w:w="830"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单位</w:t>
            </w:r>
          </w:p>
        </w:tc>
        <w:tc>
          <w:tcPr>
            <w:tcW w:w="1476"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00000" w:themeColor="text1"/>
                <w:lang w:eastAsia="zh-CN"/>
                <w14:textFill>
                  <w14:solidFill>
                    <w14:schemeClr w14:val="tx1"/>
                  </w14:solidFill>
                </w14:textFill>
              </w:rPr>
              <w:t>单价</w:t>
            </w:r>
            <w:r>
              <w:rPr>
                <w:rFonts w:hint="eastAsia" w:ascii="方正仿宋_GBK" w:hAnsi="方正仿宋_GBK" w:eastAsia="方正仿宋_GBK" w:cs="方正仿宋_GBK"/>
                <w:color w:val="000000" w:themeColor="text1"/>
                <w14:textFill>
                  <w14:solidFill>
                    <w14:schemeClr w14:val="tx1"/>
                  </w14:solidFill>
                </w14:textFill>
              </w:rPr>
              <w:t>限价</w:t>
            </w:r>
            <w:r>
              <w:rPr>
                <w:rFonts w:hint="eastAsia" w:ascii="方正仿宋_GBK" w:hAnsi="方正仿宋_GBK" w:eastAsia="方正仿宋_GBK" w:cs="方正仿宋_GBK"/>
                <w:color w:val="000000" w:themeColor="text1"/>
                <w:lang w:val="en-US" w:eastAsia="zh-CN"/>
                <w14:textFill>
                  <w14:solidFill>
                    <w14:schemeClr w14:val="tx1"/>
                  </w14:solidFill>
                </w14:textFill>
              </w:rPr>
              <w:t>(元）</w:t>
            </w:r>
          </w:p>
        </w:tc>
        <w:tc>
          <w:tcPr>
            <w:tcW w:w="1671"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13"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3488" w:type="dxa"/>
            <w:shd w:val="clear" w:color="auto" w:fill="auto"/>
            <w:noWrap w:val="0"/>
            <w:vAlign w:val="bottom"/>
          </w:tcPr>
          <w:p>
            <w:pPr>
              <w:keepNext w:val="0"/>
              <w:keepLines w:val="0"/>
              <w:widowControl/>
              <w:suppressLineNumbers w:val="0"/>
              <w:spacing w:line="60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护士鞋（四季）</w:t>
            </w:r>
          </w:p>
        </w:tc>
        <w:tc>
          <w:tcPr>
            <w:tcW w:w="1773" w:type="dxa"/>
            <w:shd w:val="clear" w:color="auto" w:fill="auto"/>
            <w:noWrap w:val="0"/>
            <w:vAlign w:val="bottom"/>
          </w:tcPr>
          <w:p>
            <w:pPr>
              <w:keepNext w:val="0"/>
              <w:keepLines w:val="0"/>
              <w:widowControl/>
              <w:suppressLineNumbers w:val="0"/>
              <w:spacing w:line="600" w:lineRule="auto"/>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700</w:t>
            </w:r>
          </w:p>
        </w:tc>
        <w:tc>
          <w:tcPr>
            <w:tcW w:w="830" w:type="dxa"/>
            <w:shd w:val="clear" w:color="auto" w:fill="auto"/>
            <w:noWrap w:val="0"/>
            <w:vAlign w:val="bottom"/>
          </w:tcPr>
          <w:p>
            <w:pPr>
              <w:keepNext w:val="0"/>
              <w:keepLines w:val="0"/>
              <w:widowControl/>
              <w:suppressLineNumbers w:val="0"/>
              <w:spacing w:line="600" w:lineRule="auto"/>
              <w:jc w:val="center"/>
              <w:textAlignment w:val="bottom"/>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双</w:t>
            </w:r>
          </w:p>
        </w:tc>
        <w:tc>
          <w:tcPr>
            <w:tcW w:w="1476" w:type="dxa"/>
            <w:shd w:val="clear" w:color="auto" w:fill="auto"/>
            <w:noWrap w:val="0"/>
            <w:vAlign w:val="top"/>
          </w:tcPr>
          <w:p>
            <w:pPr>
              <w:widowControl w:val="0"/>
              <w:spacing w:line="600" w:lineRule="auto"/>
              <w:ind w:firstLine="0" w:firstLineChars="0"/>
              <w:jc w:val="both"/>
              <w:rPr>
                <w:rFonts w:hint="eastAsia" w:ascii="方正仿宋_GBK" w:hAnsi="方正仿宋_GBK" w:eastAsia="方正仿宋_GBK" w:cs="方正仿宋_GBK"/>
                <w:lang w:val="en-US" w:eastAsia="zh-CN"/>
              </w:rPr>
            </w:pPr>
          </w:p>
          <w:p>
            <w:pPr>
              <w:widowControl w:val="0"/>
              <w:spacing w:line="600" w:lineRule="auto"/>
              <w:ind w:firstLine="0" w:firstLineChars="0"/>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122</w:t>
            </w:r>
          </w:p>
        </w:tc>
        <w:tc>
          <w:tcPr>
            <w:tcW w:w="1671"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参照医院现有样式。最终的样式颜色由护理部和医院决定</w:t>
            </w:r>
          </w:p>
        </w:tc>
      </w:tr>
    </w:tbl>
    <w:p>
      <w:pPr>
        <w:pStyle w:val="6"/>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备注：1.价格包含运输配送以及税费等所有费用。</w:t>
      </w:r>
    </w:p>
    <w:p>
      <w:pPr>
        <w:pStyle w:val="6"/>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2.款式分男女，预算数量为预估量，具体供货量根据医院实际需求分批送货。</w:t>
      </w:r>
    </w:p>
    <w:p>
      <w:pPr>
        <w:pStyle w:val="6"/>
        <w:rPr>
          <w:rFonts w:hint="default"/>
          <w:lang w:val="en-US" w:eastAsia="zh-CN"/>
        </w:rPr>
      </w:pPr>
      <w:r>
        <w:rPr>
          <w:rFonts w:hint="eastAsia" w:ascii="方正仿宋_GBK" w:hAnsi="方正仿宋_GBK" w:eastAsia="方正仿宋_GBK" w:cs="方正仿宋_GBK"/>
          <w:sz w:val="24"/>
          <w:lang w:val="en-US" w:eastAsia="zh-CN"/>
        </w:rPr>
        <w:t xml:space="preserve">     3.据实结算，合同总金额用完为止。</w:t>
      </w:r>
    </w:p>
    <w:p>
      <w:pPr>
        <w:widowControl/>
        <w:wordWrap w:val="0"/>
        <w:spacing w:line="460" w:lineRule="exact"/>
        <w:ind w:left="0" w:leftChars="0" w:firstLine="482" w:firstLineChars="200"/>
        <w:jc w:val="both"/>
        <w:rPr>
          <w:rFonts w:hint="eastAsia" w:ascii="方正仿宋_GBK" w:hAnsi="方正仿宋_GBK" w:eastAsia="方正仿宋_GBK" w:cs="方正仿宋_GBK"/>
          <w:b/>
          <w:bCs/>
          <w:sz w:val="24"/>
          <w:lang w:val="en-US" w:eastAsia="zh-CN"/>
        </w:rPr>
      </w:pPr>
      <w:r>
        <w:rPr>
          <w:rFonts w:hint="eastAsia" w:ascii="方正仿宋_GBK" w:hAnsi="方正仿宋_GBK" w:eastAsia="方正仿宋_GBK" w:cs="方正仿宋_GBK"/>
          <w:b/>
          <w:bCs/>
          <w:sz w:val="24"/>
          <w:lang w:val="en-US" w:eastAsia="zh-CN"/>
        </w:rPr>
        <w:t>二、资金来源</w:t>
      </w:r>
    </w:p>
    <w:p>
      <w:pPr>
        <w:spacing w:line="400" w:lineRule="exact"/>
        <w:ind w:firstLine="480" w:firstLineChars="200"/>
        <w:rPr>
          <w:rFonts w:hint="eastAsia" w:ascii="方正仿宋_GBK" w:hAnsi="宋体" w:eastAsia="方正仿宋_GBK"/>
          <w:sz w:val="24"/>
          <w:szCs w:val="24"/>
        </w:rPr>
      </w:pPr>
      <w:bookmarkStart w:id="0" w:name="_Toc26641"/>
      <w:bookmarkStart w:id="1" w:name="_Toc25045"/>
      <w:r>
        <w:rPr>
          <w:rFonts w:hint="eastAsia" w:ascii="方正仿宋_GBK" w:hAnsi="宋体" w:eastAsia="方正仿宋_GBK"/>
          <w:sz w:val="24"/>
          <w:szCs w:val="24"/>
        </w:rPr>
        <w:t>自筹资金，资金已到位。</w:t>
      </w:r>
      <w:bookmarkEnd w:id="0"/>
      <w:bookmarkEnd w:id="1"/>
    </w:p>
    <w:p>
      <w:pPr>
        <w:widowControl/>
        <w:wordWrap w:val="0"/>
        <w:spacing w:line="460" w:lineRule="exact"/>
        <w:ind w:firstLine="482"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三、资格条件</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（一）一般资格条件</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1.具有独立承担民事责任的能力；</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2.具有良好的商业信誉和健全的财务会计制度；</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3.具有履行合同所必需的设备和专业技术能力；</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4.有依法缴纳税收和社会保障资金的良好记录；</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5.参加政府采购活动前三年内，在经营活动中没有重大违法记录；</w:t>
      </w:r>
    </w:p>
    <w:p>
      <w:pPr>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6.法律、行政法规规定的其他条件。</w:t>
      </w:r>
    </w:p>
    <w:p>
      <w:pPr>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（二）特定资格条件</w:t>
      </w:r>
    </w:p>
    <w:p>
      <w:pPr>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营业执照经营范围须包含生产或销售鞋类项目</w:t>
      </w:r>
    </w:p>
    <w:p>
      <w:pPr>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sz w:val="24"/>
        </w:rPr>
      </w:pPr>
      <w:r>
        <w:rPr>
          <w:rFonts w:hint="default" w:ascii="方正仿宋_GBK" w:hAnsi="方正仿宋_GBK" w:eastAsia="方正仿宋_GBK" w:cs="方正仿宋_GBK"/>
          <w:sz w:val="24"/>
        </w:rPr>
        <w:t>以上所有证照必须年审合格，且在有效期内；复印件必须清晰可见，且加盖供应商单位鲜章；诚信声明必须为加盖鲜章的原件。</w:t>
      </w:r>
    </w:p>
    <w:p>
      <w:pPr>
        <w:pStyle w:val="6"/>
        <w:rPr>
          <w:rFonts w:hint="eastAsia"/>
          <w:lang w:eastAsia="zh-CN"/>
        </w:rPr>
      </w:pPr>
    </w:p>
    <w:p>
      <w:pPr>
        <w:pageBreakBefore w:val="0"/>
        <w:widowControl/>
        <w:kinsoku/>
        <w:wordWrap w:val="0"/>
        <w:overflowPunct/>
        <w:topLinePunct w:val="0"/>
        <w:autoSpaceDE/>
        <w:autoSpaceDN/>
        <w:bidi w:val="0"/>
        <w:adjustRightInd/>
        <w:snapToGrid/>
        <w:spacing w:line="440" w:lineRule="exact"/>
        <w:ind w:firstLine="482" w:firstLineChars="200"/>
        <w:jc w:val="left"/>
        <w:textAlignment w:val="auto"/>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四、报名</w:t>
      </w:r>
    </w:p>
    <w:p>
      <w:pPr>
        <w:widowControl/>
        <w:wordWrap w:val="0"/>
        <w:spacing w:line="46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一、询比有关说明</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一</w:t>
      </w:r>
      <w:r>
        <w:rPr>
          <w:rFonts w:hint="eastAsia" w:ascii="方正仿宋_GBK" w:hAnsi="方正仿宋_GBK" w:eastAsia="方正仿宋_GBK" w:cs="方正仿宋_GBK"/>
          <w:sz w:val="24"/>
        </w:rPr>
        <w:t>）凡有意参加</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的供应商，请在</w:t>
      </w:r>
      <w:r>
        <w:rPr>
          <w:rFonts w:hint="eastAsia" w:ascii="方正仿宋_GBK" w:hAnsi="方正仿宋_GBK" w:eastAsia="方正仿宋_GBK" w:cs="方正仿宋_GBK"/>
          <w:sz w:val="24"/>
          <w:lang w:eastAsia="zh-CN"/>
        </w:rPr>
        <w:t>荣昌区人民医院官网领取或</w:t>
      </w:r>
      <w:r>
        <w:rPr>
          <w:rFonts w:hint="eastAsia" w:ascii="方正仿宋_GBK" w:hAnsi="方正仿宋_GBK" w:eastAsia="方正仿宋_GBK" w:cs="方正仿宋_GBK"/>
          <w:sz w:val="24"/>
        </w:rPr>
        <w:t>下载本项目</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文件以及补遗等</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前公布的所有项目资料，无论供应商领取或下载与否，均视为已知晓所有</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实质性要求内容。供应商须</w:t>
      </w:r>
      <w:r>
        <w:rPr>
          <w:rFonts w:hint="eastAsia" w:ascii="方正仿宋_GBK" w:hAnsi="方正仿宋_GBK" w:eastAsia="方正仿宋_GBK" w:cs="方正仿宋_GBK"/>
          <w:sz w:val="24"/>
          <w:lang w:eastAsia="zh-CN"/>
        </w:rPr>
        <w:t>按时报名并递交</w:t>
      </w:r>
      <w:r>
        <w:rPr>
          <w:rFonts w:hint="eastAsia" w:ascii="方正仿宋_GBK" w:hAnsi="方正仿宋_GBK" w:eastAsia="方正仿宋_GBK" w:cs="方正仿宋_GBK"/>
          <w:sz w:val="24"/>
        </w:rPr>
        <w:t>响应文件才被接受：</w:t>
      </w:r>
    </w:p>
    <w:p>
      <w:pPr>
        <w:pStyle w:val="26"/>
        <w:snapToGrid w:val="0"/>
        <w:spacing w:line="44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1.递交响应文件地点：重庆市荣昌区人民医院行政楼二楼采购办3。</w:t>
      </w:r>
    </w:p>
    <w:p>
      <w:pPr>
        <w:pStyle w:val="26"/>
        <w:snapToGrid w:val="0"/>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2.响应文件递交开始时间：2024年 6 月 17 日14:30 北京时间</w:t>
      </w:r>
    </w:p>
    <w:p>
      <w:pPr>
        <w:pStyle w:val="26"/>
        <w:snapToGrid w:val="0"/>
        <w:spacing w:line="44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3.响应文件递交截止时间：2024年 6 月 17 日15:00北京时间 </w:t>
      </w:r>
    </w:p>
    <w:p>
      <w:pPr>
        <w:pStyle w:val="6"/>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4.询比开始时间：2024年 6 月 17 日15:00北京时间</w:t>
      </w:r>
    </w:p>
    <w:p>
      <w:pPr>
        <w:widowControl/>
        <w:wordWrap w:val="0"/>
        <w:spacing w:line="460" w:lineRule="exact"/>
        <w:ind w:firstLine="482" w:firstLineChars="200"/>
        <w:jc w:val="left"/>
        <w:rPr>
          <w:rFonts w:hint="eastAsia" w:ascii="方正仿宋_GBK" w:hAnsi="方正仿宋_GBK" w:eastAsia="方正仿宋_GBK" w:cs="方正仿宋_GBK"/>
          <w:b/>
          <w:bCs/>
          <w:sz w:val="24"/>
        </w:rPr>
      </w:pPr>
      <w:bookmarkStart w:id="2" w:name="_Toc11306"/>
      <w:r>
        <w:rPr>
          <w:rFonts w:hint="eastAsia" w:ascii="方正仿宋_GBK" w:hAnsi="方正仿宋_GBK" w:eastAsia="方正仿宋_GBK" w:cs="方正仿宋_GBK"/>
          <w:b/>
          <w:bCs/>
          <w:sz w:val="24"/>
          <w:lang w:eastAsia="zh-CN"/>
        </w:rPr>
        <w:t>五</w:t>
      </w:r>
      <w:r>
        <w:rPr>
          <w:rFonts w:hint="eastAsia" w:ascii="方正仿宋_GBK" w:hAnsi="方正仿宋_GBK" w:eastAsia="方正仿宋_GBK" w:cs="方正仿宋_GBK"/>
          <w:b/>
          <w:bCs/>
          <w:sz w:val="24"/>
        </w:rPr>
        <w:t>、其它有关规定</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（一）单位负责人为同一人或者存在直接控股、管理关系的不同供应商，不得参加同一合同项（分包）下的政府采购活动，否则均为无效响应。</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（二）为采购项目提供整体设计、规范编制或者项目管理、监理、检测等服务的供应商，不得再参加该采购项目的其他采购活动。</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（三）同一合同项（分包）下为单一品目的货物采购中， 同一品牌同一型号产品有多家供应商参加响应，只能按照一家供应商计算。</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（四）同一合同项（分包）下的货物，制造商参与采购的，不得再委托代理商参与采购。</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（五）本项目在响应文件提交截止时间前发布的采购文件及补遗文件（如果有）一律在</w:t>
      </w:r>
      <w:r>
        <w:rPr>
          <w:rFonts w:hint="eastAsia" w:ascii="方正仿宋_GBK" w:hAnsi="方正仿宋_GBK" w:eastAsia="方正仿宋_GBK" w:cs="方正仿宋_GBK"/>
          <w:sz w:val="24"/>
          <w:lang w:eastAsia="zh-CN"/>
        </w:rPr>
        <w:t>荣昌区人民医院官网</w:t>
      </w:r>
      <w:r>
        <w:rPr>
          <w:rFonts w:hint="eastAsia" w:ascii="方正仿宋_GBK" w:hAnsi="方正仿宋_GBK" w:eastAsia="方正仿宋_GBK" w:cs="方正仿宋_GBK"/>
          <w:sz w:val="24"/>
        </w:rPr>
        <w:t>上发布，请各供应商注意下载，无论供应商下载与否，均视同供应商已知晓本项目采购文件、补遗文件（如果有）的内容。</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（六）超过响应文件截止时间递交的响应文件，恕不接收。</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（七）</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费用：无论</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结果如何，供应商参与本项目</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的所有费用均应由供应商自行承担。</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（八）本项目不接受联合体参与</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（十）为减少响应误差，供应商自行到现场踏勘，并对考察中获取的现场资料负责。不论供应商是否考察过现场，均被认为在递交响应文件前已经了解现场情况。</w:t>
      </w:r>
    </w:p>
    <w:p>
      <w:pPr>
        <w:widowControl/>
        <w:wordWrap w:val="0"/>
        <w:spacing w:line="460" w:lineRule="exact"/>
        <w:ind w:firstLine="482"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六、无效询比</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，其响应文件将被拒绝</w:t>
      </w:r>
      <w:r>
        <w:rPr>
          <w:rFonts w:hint="eastAsia" w:ascii="方正仿宋_GBK" w:hAnsi="宋体" w:eastAsia="方正仿宋_GBK"/>
          <w:sz w:val="24"/>
          <w:szCs w:val="24"/>
          <w:lang w:eastAsia="zh-CN"/>
        </w:rPr>
        <w:t>、视为无效响应</w:t>
      </w:r>
      <w:r>
        <w:rPr>
          <w:rFonts w:hint="eastAsia" w:ascii="方正仿宋_GBK" w:hAnsi="宋体" w:eastAsia="方正仿宋_GBK"/>
          <w:sz w:val="24"/>
          <w:szCs w:val="24"/>
          <w:lang w:val="en-US" w:eastAsia="zh-CN"/>
        </w:rPr>
        <w:t>:</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不符合规定的基本资格条件或特定资格条件；</w:t>
      </w:r>
    </w:p>
    <w:p>
      <w:pPr>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2</w:t>
      </w:r>
      <w:r>
        <w:rPr>
          <w:rFonts w:hint="eastAsia" w:ascii="方正仿宋_GBK" w:hAnsi="宋体" w:eastAsia="方正仿宋_GBK"/>
          <w:sz w:val="24"/>
          <w:szCs w:val="24"/>
          <w:lang w:eastAsia="zh-CN"/>
        </w:rPr>
        <w:t>、</w:t>
      </w:r>
      <w:r>
        <w:rPr>
          <w:rFonts w:hint="eastAsia" w:ascii="方正仿宋_GBK" w:hAnsi="宋体" w:eastAsia="方正仿宋_GBK"/>
          <w:sz w:val="24"/>
          <w:szCs w:val="24"/>
        </w:rPr>
        <w:t>法定代表人或其授权代表未参加</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w:t>
      </w:r>
      <w:r>
        <w:rPr>
          <w:rFonts w:hint="eastAsia" w:ascii="方正仿宋_GBK" w:hAnsi="宋体" w:eastAsia="方正仿宋_GBK"/>
          <w:sz w:val="24"/>
          <w:szCs w:val="24"/>
        </w:rPr>
        <w:t>供应商未按照</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文件的要求缴纳</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保证金；</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响应文件不按规定签字、盖章；</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报价超过采购预算；</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6</w:t>
      </w:r>
      <w:r>
        <w:rPr>
          <w:rFonts w:hint="eastAsia" w:ascii="方正仿宋_GBK" w:hAnsi="宋体" w:eastAsia="方正仿宋_GBK"/>
          <w:sz w:val="24"/>
          <w:szCs w:val="24"/>
          <w:lang w:eastAsia="zh-CN"/>
        </w:rPr>
        <w:t>、</w:t>
      </w:r>
      <w:r>
        <w:rPr>
          <w:rFonts w:hint="eastAsia" w:ascii="方正仿宋_GBK" w:hAnsi="宋体" w:eastAsia="方正仿宋_GBK"/>
          <w:sz w:val="24"/>
          <w:szCs w:val="24"/>
        </w:rPr>
        <w:t>供应商响应文件内容有与国家现行法律法规相违背的内容，或附有采购人无法接受的条件</w:t>
      </w:r>
      <w:r>
        <w:rPr>
          <w:rFonts w:hint="eastAsia" w:ascii="方正仿宋_GBK" w:hAnsi="宋体" w:eastAsia="方正仿宋_GBK"/>
          <w:sz w:val="24"/>
          <w:szCs w:val="24"/>
          <w:lang w:eastAsia="zh-CN"/>
        </w:rPr>
        <w:t>。</w:t>
      </w:r>
    </w:p>
    <w:p>
      <w:pPr>
        <w:widowControl/>
        <w:wordWrap w:val="0"/>
        <w:spacing w:line="460" w:lineRule="exact"/>
        <w:ind w:firstLine="482"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七、成交通知</w:t>
      </w:r>
      <w:bookmarkEnd w:id="2"/>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（一）成交供应商确定后，采购代理机构将在</w:t>
      </w:r>
      <w:r>
        <w:rPr>
          <w:rFonts w:hint="eastAsia" w:ascii="方正仿宋_GBK" w:hAnsi="方正仿宋_GBK" w:eastAsia="方正仿宋_GBK" w:cs="方正仿宋_GBK"/>
          <w:sz w:val="24"/>
          <w:lang w:eastAsia="zh-CN"/>
        </w:rPr>
        <w:t>荣昌区人民医院官网上</w:t>
      </w:r>
      <w:r>
        <w:rPr>
          <w:rFonts w:hint="eastAsia" w:ascii="方正仿宋_GBK" w:hAnsi="方正仿宋_GBK" w:eastAsia="方正仿宋_GBK" w:cs="方正仿宋_GBK"/>
          <w:sz w:val="24"/>
        </w:rPr>
        <w:t>发布成交结果公告。</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（二）结果公告</w:t>
      </w:r>
      <w:r>
        <w:rPr>
          <w:rFonts w:hint="eastAsia" w:ascii="方正仿宋_GBK" w:hAnsi="方正仿宋_GBK" w:eastAsia="方正仿宋_GBK" w:cs="方正仿宋_GBK"/>
          <w:sz w:val="24"/>
          <w:lang w:eastAsia="zh-CN"/>
        </w:rPr>
        <w:t>公示期满</w:t>
      </w:r>
      <w:r>
        <w:rPr>
          <w:rFonts w:hint="eastAsia" w:ascii="方正仿宋_GBK" w:hAnsi="方正仿宋_GBK" w:eastAsia="方正仿宋_GBK" w:cs="方正仿宋_GBK"/>
          <w:sz w:val="24"/>
        </w:rPr>
        <w:t>，采购代理机构将以书面形式发出《中标通知书》，《中标通知书》一经发出即发生法律效力。</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（三）</w:t>
      </w:r>
      <w:r>
        <w:rPr>
          <w:rFonts w:hint="eastAsia" w:ascii="方正仿宋_GBK" w:hAnsi="方正仿宋_GBK" w:eastAsia="方正仿宋_GBK" w:cs="方正仿宋_GBK"/>
          <w:sz w:val="24"/>
        </w:rPr>
        <w:t>《中标通知书》将作为签订合同的依据。</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（四）如有供应商对成交结果提出质疑的，在质疑处理完毕后发出中标通知书。</w:t>
      </w:r>
    </w:p>
    <w:p>
      <w:pPr>
        <w:widowControl/>
        <w:wordWrap w:val="0"/>
        <w:spacing w:line="460" w:lineRule="exact"/>
        <w:ind w:firstLine="482"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八、联系方式</w:t>
      </w:r>
    </w:p>
    <w:p>
      <w:pPr>
        <w:widowControl/>
        <w:wordWrap w:val="0"/>
        <w:spacing w:line="46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（一）</w:t>
      </w:r>
      <w:r>
        <w:rPr>
          <w:rFonts w:hint="eastAsia" w:ascii="方正仿宋_GBK" w:hAnsi="方正仿宋_GBK" w:eastAsia="方正仿宋_GBK" w:cs="方正仿宋_GBK"/>
          <w:sz w:val="24"/>
        </w:rPr>
        <w:t>采购人：重庆市荣昌区</w:t>
      </w:r>
      <w:r>
        <w:rPr>
          <w:rFonts w:hint="eastAsia" w:ascii="方正仿宋_GBK" w:hAnsi="方正仿宋_GBK" w:eastAsia="方正仿宋_GBK" w:cs="方正仿宋_GBK"/>
          <w:sz w:val="24"/>
          <w:lang w:eastAsia="zh-CN"/>
        </w:rPr>
        <w:t>人民医院</w:t>
      </w:r>
    </w:p>
    <w:p>
      <w:pPr>
        <w:widowControl/>
        <w:wordWrap w:val="0"/>
        <w:spacing w:line="460" w:lineRule="exact"/>
        <w:ind w:firstLine="480" w:firstLineChars="200"/>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联系人：</w:t>
      </w:r>
      <w:r>
        <w:rPr>
          <w:rFonts w:hint="eastAsia" w:ascii="方正仿宋_GBK" w:hAnsi="方正仿宋_GBK" w:eastAsia="方正仿宋_GBK" w:cs="方正仿宋_GBK"/>
          <w:sz w:val="24"/>
          <w:lang w:eastAsia="zh-CN"/>
        </w:rPr>
        <w:t>段老师</w:t>
      </w:r>
      <w:r>
        <w:rPr>
          <w:rFonts w:hint="eastAsia" w:ascii="方正仿宋_GBK" w:hAnsi="方正仿宋_GBK" w:eastAsia="方正仿宋_GBK" w:cs="方正仿宋_GBK"/>
          <w:sz w:val="24"/>
          <w:lang w:val="en-US" w:eastAsia="zh-CN"/>
        </w:rPr>
        <w:t>(采购办）            李先生（总务科）</w:t>
      </w:r>
    </w:p>
    <w:p>
      <w:pPr>
        <w:widowControl/>
        <w:wordWrap w:val="0"/>
        <w:spacing w:line="460" w:lineRule="exact"/>
        <w:ind w:firstLine="480" w:firstLineChars="200"/>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电  话：023-46264775               023-46331845</w:t>
      </w:r>
    </w:p>
    <w:p>
      <w:pPr>
        <w:widowControl/>
        <w:wordWrap w:val="0"/>
        <w:spacing w:line="460" w:lineRule="exact"/>
        <w:ind w:firstLine="480" w:firstLineChars="200"/>
        <w:jc w:val="left"/>
        <w:rPr>
          <w:rFonts w:hint="eastAsia" w:ascii="宋体" w:hAnsi="宋体" w:eastAsia="宋体" w:cs="宋体"/>
          <w:b/>
          <w:bCs w:val="0"/>
          <w:sz w:val="36"/>
          <w:szCs w:val="30"/>
        </w:rPr>
      </w:pPr>
      <w:r>
        <w:rPr>
          <w:rFonts w:hint="eastAsia" w:ascii="方正仿宋_GBK" w:hAnsi="方正仿宋_GBK" w:eastAsia="方正仿宋_GBK" w:cs="方正仿宋_GBK"/>
          <w:sz w:val="24"/>
        </w:rPr>
        <w:t>地  址：</w:t>
      </w:r>
      <w:r>
        <w:rPr>
          <w:rFonts w:hint="eastAsia" w:ascii="方正仿宋_GBK" w:hAnsi="方正仿宋_GBK" w:eastAsia="方正仿宋_GBK" w:cs="方正仿宋_GBK"/>
          <w:sz w:val="24"/>
          <w:lang w:eastAsia="zh-CN"/>
        </w:rPr>
        <w:t>荣昌区</w:t>
      </w:r>
      <w:r>
        <w:rPr>
          <w:rFonts w:hint="eastAsia" w:ascii="方正仿宋_GBK" w:hAnsi="宋体" w:eastAsia="方正仿宋_GBK"/>
          <w:sz w:val="24"/>
          <w:szCs w:val="24"/>
        </w:rPr>
        <w:t>昌元街道广场北路3号</w:t>
      </w:r>
    </w:p>
    <w:p>
      <w:pPr>
        <w:rPr>
          <w:rFonts w:hint="eastAsia" w:ascii="宋体" w:hAnsi="宋体" w:eastAsia="宋体" w:cs="宋体"/>
          <w:b/>
          <w:bCs w:val="0"/>
          <w:sz w:val="36"/>
          <w:szCs w:val="30"/>
        </w:rPr>
      </w:pPr>
    </w:p>
    <w:p>
      <w:pPr>
        <w:pStyle w:val="6"/>
        <w:rPr>
          <w:rFonts w:hint="eastAsia" w:ascii="宋体" w:hAnsi="宋体" w:eastAsia="宋体" w:cs="宋体"/>
          <w:b/>
          <w:bCs w:val="0"/>
          <w:sz w:val="36"/>
          <w:szCs w:val="30"/>
        </w:rPr>
      </w:pPr>
    </w:p>
    <w:p>
      <w:pPr>
        <w:pStyle w:val="3"/>
        <w:pageBreakBefore w:val="0"/>
        <w:widowControl w:val="0"/>
        <w:kinsoku/>
        <w:wordWrap/>
        <w:overflowPunct/>
        <w:topLinePunct w:val="0"/>
        <w:autoSpaceDE/>
        <w:autoSpaceDN/>
        <w:bidi w:val="0"/>
        <w:adjustRightInd/>
        <w:spacing w:before="0" w:after="0" w:line="440" w:lineRule="exact"/>
        <w:jc w:val="both"/>
        <w:textAlignment w:val="auto"/>
        <w:rPr>
          <w:rFonts w:hint="eastAsia" w:ascii="宋体" w:hAnsi="宋体" w:eastAsia="宋体" w:cs="宋体"/>
          <w:b/>
          <w:bCs/>
          <w:sz w:val="36"/>
          <w:szCs w:val="30"/>
        </w:rPr>
        <w:sectPr>
          <w:pgSz w:w="11905" w:h="16838"/>
          <w:pgMar w:top="1134" w:right="1134" w:bottom="1134" w:left="1134" w:header="851" w:footer="850" w:gutter="0"/>
          <w:pgNumType w:fmt="numberInDash"/>
          <w:cols w:space="0" w:num="1"/>
          <w:rtlGutter w:val="0"/>
          <w:docGrid w:linePitch="380" w:charSpace="0"/>
        </w:sectPr>
      </w:pPr>
    </w:p>
    <w:p>
      <w:pPr>
        <w:pStyle w:val="3"/>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bCs/>
          <w:sz w:val="36"/>
          <w:szCs w:val="30"/>
        </w:rPr>
      </w:pPr>
      <w:r>
        <w:rPr>
          <w:rFonts w:hint="eastAsia" w:ascii="宋体" w:hAnsi="宋体" w:eastAsia="宋体" w:cs="宋体"/>
          <w:b/>
          <w:bCs/>
          <w:sz w:val="36"/>
          <w:szCs w:val="30"/>
        </w:rPr>
        <w:t>第二篇  采购</w:t>
      </w:r>
      <w:r>
        <w:rPr>
          <w:rFonts w:hint="eastAsia" w:ascii="宋体" w:hAnsi="宋体" w:eastAsia="宋体" w:cs="宋体"/>
          <w:b/>
          <w:bCs/>
          <w:sz w:val="36"/>
          <w:szCs w:val="30"/>
          <w:lang w:val="en-US" w:eastAsia="zh-CN"/>
        </w:rPr>
        <w:t>技术</w:t>
      </w:r>
      <w:r>
        <w:rPr>
          <w:rFonts w:hint="eastAsia" w:ascii="宋体" w:hAnsi="宋体" w:eastAsia="宋体" w:cs="宋体"/>
          <w:b/>
          <w:bCs/>
          <w:sz w:val="36"/>
          <w:szCs w:val="30"/>
        </w:rPr>
        <w:t>需求</w:t>
      </w:r>
    </w:p>
    <w:p>
      <w:pPr>
        <w:pageBreakBefore w:val="0"/>
        <w:widowControl w:val="0"/>
        <w:kinsoku/>
        <w:wordWrap w:val="0"/>
        <w:overflowPunct/>
        <w:topLinePunct w:val="0"/>
        <w:autoSpaceDE/>
        <w:autoSpaceDN/>
        <w:bidi w:val="0"/>
        <w:adjustRightInd/>
        <w:snapToGrid/>
        <w:spacing w:line="440" w:lineRule="exact"/>
        <w:ind w:firstLine="48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一、详细技术要求</w:t>
      </w:r>
    </w:p>
    <w:tbl>
      <w:tblPr>
        <w:tblStyle w:val="13"/>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434"/>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497"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序号</w:t>
            </w:r>
          </w:p>
        </w:tc>
        <w:tc>
          <w:tcPr>
            <w:tcW w:w="3434" w:type="dxa"/>
            <w:shd w:val="clear" w:color="auto" w:fill="auto"/>
            <w:noWrap w:val="0"/>
            <w:vAlign w:val="top"/>
          </w:tcPr>
          <w:p>
            <w:pPr>
              <w:widowControl w:val="0"/>
              <w:spacing w:line="240" w:lineRule="auto"/>
              <w:ind w:firstLine="0" w:firstLineChars="0"/>
              <w:jc w:val="center"/>
              <w:rPr>
                <w:rFonts w:hint="eastAsia" w:ascii="方正仿宋_GBK" w:hAnsi="方正仿宋_GBK" w:eastAsia="方正仿宋_GBK" w:cs="方正仿宋_GBK"/>
              </w:rPr>
            </w:pPr>
          </w:p>
          <w:p>
            <w:pPr>
              <w:widowControl w:val="0"/>
              <w:spacing w:line="240" w:lineRule="auto"/>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4438" w:type="dxa"/>
            <w:shd w:val="clear" w:color="auto" w:fill="auto"/>
            <w:noWrap w:val="0"/>
            <w:vAlign w:val="top"/>
          </w:tcPr>
          <w:p>
            <w:pPr>
              <w:widowControl w:val="0"/>
              <w:spacing w:line="240" w:lineRule="auto"/>
              <w:ind w:firstLine="0" w:firstLineChars="0"/>
              <w:jc w:val="both"/>
              <w:rPr>
                <w:rFonts w:hint="eastAsia" w:ascii="方正仿宋_GBK" w:hAnsi="方正仿宋_GBK" w:eastAsia="方正仿宋_GBK" w:cs="方正仿宋_GBK"/>
              </w:rPr>
            </w:pPr>
          </w:p>
          <w:p>
            <w:pPr>
              <w:widowControl w:val="0"/>
              <w:spacing w:line="240" w:lineRule="auto"/>
              <w:ind w:firstLine="1470" w:firstLineChars="7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rPr>
              <w:t>规格</w:t>
            </w:r>
            <w:r>
              <w:rPr>
                <w:rFonts w:hint="eastAsia" w:ascii="方正仿宋_GBK" w:hAnsi="方正仿宋_GBK" w:eastAsia="方正仿宋_GBK" w:cs="方正仿宋_GBK"/>
                <w:lang w:eastAsia="zh-CN"/>
              </w:rPr>
              <w:t>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6" w:hRule="atLeast"/>
          <w:jc w:val="center"/>
        </w:trPr>
        <w:tc>
          <w:tcPr>
            <w:tcW w:w="497"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3434"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760" w:lineRule="auto"/>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护士鞋（四季）</w:t>
            </w:r>
          </w:p>
        </w:tc>
        <w:tc>
          <w:tcPr>
            <w:tcW w:w="4438" w:type="dxa"/>
            <w:shd w:val="clear" w:color="auto" w:fill="auto"/>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1.鞋面：选用优质纳帕白色光面软牛皮，质地柔韧。车缝部分以 40 番白色珠光尼龙线，每英寸 10 针；</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2.鞋底采用超轻高弹 EVA 材质，减震效果好，穿着舒适，安稳，双向防滑橡胶 片，防滑，静音，耐磨，超轻；</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3.材质鉴定：头层牛皮革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4 厚度（mm）：1.65（±0.1mm）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5.静态防滑性能（静态摩擦系数）：干法 0.85～0.99 湿法 0.75-0.85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6.DIN 磨耗量（mm3）:≤105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7.无可分解有害芳香胺染料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8.耐黄变 B 法：3-4 级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9.异味（级）：≤3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10.PH 值：4.0-6.5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11.甲醛含量（mg/kg）：≤75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12.铬（VI）含量（mg/kg）：未检出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13.耐折性能（预割口 5mm，连续屈挠 4 万次）裂口长度：≤10.0；新裂纹：最 大值 无，处数 无；帮面裂浆、裂面：无；帮底开胶：无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14.外底耐磨性能（磨痕长度：部位：非发泡材料）（mm）:≤14mm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15、检验依据:国家QB/T2955-2017皮鞋行业标准制作；</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16、尺码：33-43码，最终根据科室和医院要求为准；</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17、服务保证：实行国家三包（包修、包退、包换）；</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18、交货期：接到我院采购办正式通知后30个日历日内，送到我院指定位置；</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19、质保期：≥1年（人为因素除外）；</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20、以上第3-14项需提供省级(含直辖市)具有CMA、CNAS资质的质检机构出具的检测报告，且全部满足技术参数，（开标现场提供检测报告复印件，原件备查）</w:t>
            </w:r>
          </w:p>
        </w:tc>
      </w:tr>
    </w:tbl>
    <w:p>
      <w:pPr>
        <w:pStyle w:val="6"/>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440" w:lineRule="exact"/>
        <w:ind w:firstLine="480"/>
        <w:textAlignment w:val="auto"/>
        <w:rPr>
          <w:rFonts w:hint="eastAsia"/>
        </w:rPr>
      </w:pPr>
      <w:r>
        <w:rPr>
          <w:rFonts w:hint="eastAsia" w:ascii="方正仿宋_GBK" w:hAnsi="方正仿宋_GBK" w:eastAsia="方正仿宋_GBK" w:cs="方正仿宋_GBK"/>
          <w:b/>
          <w:bCs/>
          <w:sz w:val="24"/>
          <w:szCs w:val="24"/>
          <w:lang w:eastAsia="zh-CN"/>
        </w:rPr>
        <w:t>二、其他要求</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1、供应商所供产品均有生产厂家、生产地、出厂日期、产品合格证、检验报告等。</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2、供应商提供的产品，质监部门有权进行商品质量抽检。</w:t>
      </w:r>
    </w:p>
    <w:p>
      <w:pPr>
        <w:pStyle w:val="3"/>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bCs/>
          <w:sz w:val="36"/>
          <w:szCs w:val="30"/>
        </w:rPr>
      </w:pPr>
      <w:r>
        <w:rPr>
          <w:rFonts w:hint="eastAsia" w:ascii="宋体" w:hAnsi="宋体" w:eastAsia="宋体" w:cs="宋体"/>
          <w:b/>
          <w:bCs/>
          <w:sz w:val="36"/>
          <w:szCs w:val="30"/>
        </w:rPr>
        <w:t>第三篇  采购商务</w:t>
      </w:r>
      <w:r>
        <w:rPr>
          <w:rFonts w:hint="eastAsia" w:ascii="宋体" w:hAnsi="宋体" w:eastAsia="宋体" w:cs="宋体"/>
          <w:b/>
          <w:bCs/>
          <w:sz w:val="36"/>
          <w:szCs w:val="30"/>
          <w:lang w:eastAsia="zh-CN"/>
        </w:rPr>
        <w:t>需</w:t>
      </w:r>
      <w:r>
        <w:rPr>
          <w:rFonts w:hint="eastAsia" w:ascii="宋体" w:hAnsi="宋体" w:eastAsia="宋体" w:cs="宋体"/>
          <w:b/>
          <w:bCs/>
          <w:sz w:val="36"/>
          <w:szCs w:val="30"/>
        </w:rPr>
        <w:t>求</w:t>
      </w: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方正仿宋_GBK" w:hAnsi="宋体" w:eastAsia="方正仿宋_GBK"/>
          <w:b/>
          <w:bCs/>
          <w:sz w:val="24"/>
        </w:rPr>
      </w:pPr>
      <w:r>
        <w:rPr>
          <w:rFonts w:hint="eastAsia" w:ascii="方正仿宋_GBK" w:hAnsi="宋体" w:eastAsia="方正仿宋_GBK"/>
          <w:b/>
          <w:bCs/>
          <w:sz w:val="24"/>
          <w:lang w:eastAsia="zh-CN"/>
        </w:rPr>
        <w:t>一、供货</w:t>
      </w:r>
      <w:r>
        <w:rPr>
          <w:rFonts w:hint="eastAsia" w:ascii="方正仿宋_GBK" w:hAnsi="宋体" w:eastAsia="方正仿宋_GBK"/>
          <w:b/>
          <w:bCs/>
          <w:sz w:val="24"/>
        </w:rPr>
        <w:t>时间、地点及验收方式</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（一）交货时间：</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根据医院具体要求分批制作，分批送货。供货时限：接到采购人通知后30天内。</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（二）交货地点：</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采购人指定地点</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（三）验收方式</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1、货物到达现场后，供应商应经采购人或其指定验收单位清点品名、规格、数量；检查外观，作出验收记录，双方签字确认。</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2、供应商应保证货物到达用户所在地完好无损，如有缺漏、损坏，由供应商负责调换、补齐或赔偿。</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3、供应商应提供完备的技术资料、装箱单和合格证等，第一次供货需提供面料检测报告复印件并盖投标单位鲜章，原件备查。验收合格条件如下：</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3.1商品种类、规格、数量、技术参数以及商品品牌、生产厂家等与采购合同一致，性能指标达到规定的标准。</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3.2货物技术资料、装箱单、合格证等资料齐全。</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3.3在规定时间内完成交货并验收，并经采购人确认。</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4、供应商提供的货物未达到询价采购规定要求，且对采购人造成损失的，由供应商承担一切责任，并赔偿所造成的损失。</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5、大型或者复杂的政府采购产品项目，采购人可邀请国家认可的质量检测机构参加验收工作。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6、采购人需要厂家对成交供应商交付的产品（包括质量、技术参数等）进行确认的，厂家应予以配合，并出具书面意见。</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7、产品包装材料归采购人所有。</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8、本项目验收标准，不得低于但不限于国家/行业技术标准：</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采购人有权将本次采购的产品送质监机构进行破坏式检验。检验结果不符合项目参数及要求和合同约定的，采购人有权解除采购合同并退回所有货物，所产生的一切费用（含检测费）和损失由供应商自行承担，并赔偿由此违约行为给采购人造成的损失。检验结果与合同相符的，由采购人支付检测费用。</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bookmarkStart w:id="3" w:name="_Toc267320050"/>
      <w:bookmarkStart w:id="4" w:name="_Toc271808343"/>
      <w:bookmarkStart w:id="5" w:name="_Toc268626060"/>
      <w:bookmarkStart w:id="6" w:name="_Toc271054047"/>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二、质量保证</w:t>
      </w:r>
      <w:bookmarkEnd w:id="3"/>
      <w:bookmarkEnd w:id="4"/>
      <w:bookmarkEnd w:id="5"/>
      <w:bookmarkEnd w:id="6"/>
      <w:bookmarkStart w:id="7" w:name="_Toc271808344"/>
      <w:bookmarkStart w:id="8" w:name="_Toc267320051"/>
      <w:bookmarkStart w:id="9" w:name="_Toc271054048"/>
      <w:bookmarkStart w:id="10" w:name="_Toc268626061"/>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及售后服务内容：</w:t>
      </w:r>
    </w:p>
    <w:bookmarkEnd w:id="7"/>
    <w:bookmarkEnd w:id="8"/>
    <w:bookmarkEnd w:id="9"/>
    <w:bookmarkEnd w:id="10"/>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一</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）产品质量保证期</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1.投标产品质量保证期：</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年。</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2.产品属于国家规定“三包”范围的，其产品质量保证期不得低于“三包”规定。</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3.报价供应商的质量保证期承诺优于国家“三包”规定的，按供应商实际承诺执行，此承诺应当在报价文件中予以明确说明。</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.采购人需要制造商对中标人交付的产品（包括质量、技术参数等）进行确认的，制造商应予以配合，并出具书面意见。</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二</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）售后服务内容</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1.成交供应商和制造商在质量保证期内应当为采购人提供以下技术支持和服务：</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（1）电话咨询</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成交供应商应有维修团队，提供报修、技术咨询电话，并保证在</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7X</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24小时内及时应答，解答用户在使用中遇到的问题，给予技术支持，及时为用户提出解决问题的建议。</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（2）现场响应</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采购人遇到使用及技术问题，电话咨询不能解决的，成交供应商和制造商应在2小时内提供服务响应及措施，</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24</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小时内提供上门服务，确保产品正常工作；无法在</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24</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小时内解决的，应在</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48</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小时内提供备用产品，使用户能够正常使用。</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2.质保期外服务要求</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（1）质量保证期过后，成交供应商和制造商应同样提供免费电话咨询服务，并应承诺提供产品上门维护服务。</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三</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）备品备件及易损件</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成交供应商和制造商售后服务中，维修使用的备品备件及易损件应为原厂配件，未经采购人同意不得使用非原厂配件。</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四</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）包装标准：按国家有关规定进行包装，因包装不当引起的损坏等责任由成交供应商承担。</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三</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、付款方式</w:t>
      </w:r>
      <w:bookmarkStart w:id="11" w:name="_Toc271808345"/>
      <w:bookmarkStart w:id="12" w:name="_Toc268626062"/>
      <w:bookmarkStart w:id="13" w:name="_Toc271054049"/>
      <w:bookmarkStart w:id="14" w:name="_Toc267320052"/>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br w:type="textWrapping"/>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 xml:space="preserve">      1、每次</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采购的货物验收合格后，采购人以转账方式向成交供应商支付货款。</w:t>
      </w:r>
    </w:p>
    <w:p>
      <w:pPr>
        <w:pStyle w:val="2"/>
        <w:ind w:firstLine="720" w:firstLineChars="300"/>
        <w:jc w:val="both"/>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2、合同签订前成交供应商向采购人缴纳合同金额5%的履约保证金。</w:t>
      </w:r>
    </w:p>
    <w:p>
      <w:pPr>
        <w:pStyle w:val="2"/>
        <w:ind w:firstLine="720" w:firstLineChars="300"/>
        <w:jc w:val="both"/>
        <w:rPr>
          <w:rFonts w:hint="eastAsia"/>
          <w:lang w:val="zh-CN"/>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3、履约保证金无息退还时间：履约保证金在所有产品供货、安装完毕并经采购人验收合格后，30日内无息退还；如果供应商不满足合同条款违约，则不退还履约保证金并验收不合格。</w:t>
      </w:r>
    </w:p>
    <w:bookmarkEnd w:id="11"/>
    <w:bookmarkEnd w:id="12"/>
    <w:bookmarkEnd w:id="13"/>
    <w:bookmarkEnd w:id="14"/>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四</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违约条款</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（一）除不可抗力和合同约定外，双方不得终止合同；</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（二）质量和安全:产品发生质量问题或产品出现异常情况，成交供应商需承担相应一切法律责任和经济赔偿责任，成交供应商另为此承担违约金</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00元/次，发生两次及以上质量问题视为成交供应商违约，采购人有权终止合同，并没收履约保证金；</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（三）若</w:t>
      </w:r>
      <w:r>
        <w:rPr>
          <w:rFonts w:hint="eastAsia" w:ascii="方正仿宋_GBK" w:hAnsi="方正仿宋_GBK" w:eastAsia="方正仿宋_GBK" w:cs="方正仿宋_GBK"/>
          <w:b w:val="0"/>
          <w:bCs w:val="0"/>
          <w:color w:val="000000" w:themeColor="text1"/>
          <w:sz w:val="24"/>
          <w:szCs w:val="24"/>
          <w:lang w:val="zh-CN" w:eastAsia="zh-CN"/>
          <w14:textFill>
            <w14:solidFill>
              <w14:schemeClr w14:val="tx1"/>
            </w14:solidFill>
          </w14:textFill>
        </w:rPr>
        <w:t>接到医院供货</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要求</w:t>
      </w:r>
      <w:r>
        <w:rPr>
          <w:rFonts w:hint="eastAsia" w:ascii="方正仿宋_GBK" w:hAnsi="方正仿宋_GBK" w:eastAsia="方正仿宋_GBK" w:cs="方正仿宋_GBK"/>
          <w:b w:val="0"/>
          <w:bCs w:val="0"/>
          <w:color w:val="000000" w:themeColor="text1"/>
          <w:sz w:val="24"/>
          <w:szCs w:val="24"/>
          <w:lang w:val="zh-CN" w:eastAsia="zh-CN"/>
          <w14:textFill>
            <w14:solidFill>
              <w14:schemeClr w14:val="tx1"/>
            </w14:solidFill>
          </w14:textFill>
        </w:rPr>
        <w:t>后未在合同约定时间内</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供货或者断供，成交供应商为此承担违约金</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500</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元/次，且承担</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00元/天的超期违约金(自超期之时起，不足一天按照一天计算)，达到5次及以上视为成交供应商违约，采购人有权终止合同，没收履约保证金；退货或换货未在</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个月内处理完成成交供应商为此承担违约金500元/次；</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（四）若成交供应商中途失去供货能力，成交供应商为此承担违约金2000元，采购人有权从其它渠道购买且有权终止合同，并没收履约保证金；</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（五）处理产品相关纠纷和投诉不积极或者无效，成交供应商为此承担违约金500元/次；</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（六）所有违约金</w:t>
      </w:r>
      <w:r>
        <w:rPr>
          <w:rFonts w:hint="eastAsia" w:ascii="方正仿宋_GBK" w:hAnsi="方正仿宋_GBK" w:eastAsia="方正仿宋_GBK" w:cs="方正仿宋_GBK"/>
          <w:b w:val="0"/>
          <w:bCs w:val="0"/>
          <w:color w:val="000000" w:themeColor="text1"/>
          <w:sz w:val="24"/>
          <w:szCs w:val="24"/>
          <w:lang w:val="zh-CN" w:eastAsia="zh-CN"/>
          <w14:textFill>
            <w14:solidFill>
              <w14:schemeClr w14:val="tx1"/>
            </w14:solidFill>
          </w14:textFill>
        </w:rPr>
        <w:t>优先</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在结算金额中扣除。</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五、知识产权</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采购人在中华人民共和国境内使用报价人提供的货物及服务时免受第三方提出的侵犯其专利权或其它知识产权的起诉。如果第三方提出侵权指控，成交人应承担由此而引起的一切法律责任和费用。</w:t>
      </w:r>
      <w:bookmarkStart w:id="15" w:name="_Toc271054050"/>
      <w:bookmarkStart w:id="16" w:name="_Toc271808346"/>
      <w:bookmarkStart w:id="17" w:name="_Toc268626063"/>
      <w:bookmarkStart w:id="18" w:name="_Toc267320053"/>
    </w:p>
    <w:bookmarkEnd w:id="15"/>
    <w:bookmarkEnd w:id="16"/>
    <w:bookmarkEnd w:id="17"/>
    <w:bookmarkEnd w:id="18"/>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六</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、其他</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一</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供应商</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必须在报价文件中对以上条款和服务承诺明确列出，承诺内容必须达到本章及采购文件其他条款的要求。</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二</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）其他未尽事宜由供需双方在采购合同中详细约定。</w:t>
      </w:r>
    </w:p>
    <w:p>
      <w:pPr>
        <w:pStyle w:val="7"/>
      </w:pPr>
    </w:p>
    <w:p>
      <w:pPr>
        <w:pStyle w:val="6"/>
        <w:pageBreakBefore w:val="0"/>
        <w:widowControl w:val="0"/>
        <w:kinsoku/>
        <w:wordWrap/>
        <w:overflowPunct/>
        <w:topLinePunct w:val="0"/>
        <w:autoSpaceDE/>
        <w:autoSpaceDN/>
        <w:bidi w:val="0"/>
        <w:adjustRightInd/>
        <w:spacing w:line="440" w:lineRule="exact"/>
        <w:textAlignment w:val="auto"/>
        <w:rPr>
          <w:rFonts w:hint="eastAsia" w:ascii="方正仿宋_GBK" w:hAnsi="宋体" w:eastAsia="方正仿宋_GBK" w:cs="Times New Roman"/>
          <w:sz w:val="24"/>
        </w:rPr>
      </w:pPr>
    </w:p>
    <w:p>
      <w:pPr>
        <w:pStyle w:val="6"/>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eastAsia="宋体" w:cs="宋体"/>
          <w:b/>
          <w:bCs/>
          <w:sz w:val="36"/>
          <w:szCs w:val="30"/>
          <w:lang w:eastAsia="zh-CN"/>
        </w:rPr>
      </w:pPr>
      <w:r>
        <w:rPr>
          <w:rFonts w:hint="eastAsia" w:cs="宋体"/>
          <w:b/>
          <w:bCs/>
          <w:sz w:val="36"/>
          <w:szCs w:val="30"/>
          <w:lang w:eastAsia="zh-CN"/>
        </w:rPr>
        <w:t>第四篇</w:t>
      </w:r>
      <w:r>
        <w:rPr>
          <w:rFonts w:hint="eastAsia" w:cs="宋体"/>
          <w:b/>
          <w:bCs/>
          <w:sz w:val="36"/>
          <w:szCs w:val="30"/>
          <w:lang w:val="en-US" w:eastAsia="zh-CN"/>
        </w:rPr>
        <w:t xml:space="preserve"> </w:t>
      </w:r>
      <w:r>
        <w:rPr>
          <w:rFonts w:hint="eastAsia" w:eastAsia="宋体" w:cs="宋体"/>
          <w:b/>
          <w:bCs/>
          <w:sz w:val="36"/>
          <w:szCs w:val="30"/>
          <w:lang w:eastAsia="zh-CN"/>
        </w:rPr>
        <w:t>评标方法及标准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rPr>
      </w:pPr>
      <w:r>
        <w:rPr>
          <w:rFonts w:hint="eastAsia" w:ascii="方正仿宋_GBK" w:hAnsi="宋体" w:eastAsia="方正仿宋_GBK" w:cs="Times New Roman"/>
          <w:sz w:val="24"/>
          <w:lang w:eastAsia="zh-CN"/>
        </w:rPr>
        <w:t>（一）本项目采用</w:t>
      </w:r>
      <w:r>
        <w:rPr>
          <w:rFonts w:hint="eastAsia" w:ascii="方正仿宋_GBK" w:hAnsi="宋体" w:eastAsia="方正仿宋_GBK" w:cs="Times New Roman"/>
          <w:sz w:val="24"/>
        </w:rPr>
        <w:t>综合评分法。</w:t>
      </w:r>
      <w:r>
        <w:rPr>
          <w:rFonts w:hint="eastAsia" w:ascii="方正仿宋_GBK" w:hAnsi="宋体" w:eastAsia="方正仿宋_GBK" w:cs="Times New Roman"/>
          <w:sz w:val="24"/>
          <w:lang w:eastAsia="zh-CN"/>
        </w:rPr>
        <w:t>对各供应商</w:t>
      </w:r>
      <w:r>
        <w:rPr>
          <w:rFonts w:hint="eastAsia" w:ascii="方正仿宋_GBK" w:hAnsi="宋体" w:eastAsia="方正仿宋_GBK" w:cs="Times New Roman"/>
          <w:sz w:val="24"/>
        </w:rPr>
        <w:t>的响应文件和报价进行评分</w:t>
      </w:r>
      <w:r>
        <w:rPr>
          <w:rFonts w:hint="eastAsia" w:ascii="方正仿宋_GBK" w:hAnsi="宋体" w:eastAsia="方正仿宋_GBK" w:cs="Times New Roman"/>
          <w:sz w:val="24"/>
          <w:lang w:eastAsia="zh-CN"/>
        </w:rPr>
        <w:t>。</w:t>
      </w:r>
      <w:r>
        <w:rPr>
          <w:rFonts w:hint="eastAsia" w:ascii="方正仿宋_GBK" w:hAnsi="宋体" w:eastAsia="方正仿宋_GBK" w:cs="Times New Roman"/>
          <w:color w:val="000000" w:themeColor="text1"/>
          <w:sz w:val="24"/>
          <w:lang w:eastAsia="zh-CN"/>
          <w14:textFill>
            <w14:solidFill>
              <w14:schemeClr w14:val="tx1"/>
            </w14:solidFill>
          </w14:textFill>
        </w:rPr>
        <w:t>报价得分：</w:t>
      </w:r>
      <w:r>
        <w:rPr>
          <w:rFonts w:hint="eastAsia" w:ascii="方正仿宋_GBK" w:hAnsi="宋体" w:eastAsia="方正仿宋_GBK" w:cs="Times New Roman"/>
          <w:color w:val="000000" w:themeColor="text1"/>
          <w:sz w:val="24"/>
          <w:lang w:val="en-US" w:eastAsia="zh-CN"/>
          <w14:textFill>
            <w14:solidFill>
              <w14:schemeClr w14:val="tx1"/>
            </w14:solidFill>
          </w14:textFill>
        </w:rPr>
        <w:t>对每样耗材单价之和进行打分</w:t>
      </w:r>
      <w:r>
        <w:rPr>
          <w:rFonts w:hint="eastAsia" w:ascii="方正仿宋_GBK" w:hAnsi="宋体" w:eastAsia="方正仿宋_GBK" w:cs="Times New Roman"/>
          <w:sz w:val="24"/>
          <w:lang w:val="en-US" w:eastAsia="zh-CN"/>
        </w:rPr>
        <w:t>，总</w:t>
      </w:r>
      <w:r>
        <w:rPr>
          <w:rFonts w:hint="eastAsia" w:ascii="方正仿宋_GBK" w:hAnsi="宋体" w:eastAsia="方正仿宋_GBK" w:cs="Times New Roman"/>
          <w:sz w:val="24"/>
        </w:rPr>
        <w:t>得分最高的供应商为成交</w:t>
      </w:r>
      <w:r>
        <w:rPr>
          <w:rFonts w:hint="eastAsia" w:ascii="方正仿宋_GBK" w:hAnsi="宋体" w:eastAsia="方正仿宋_GBK" w:cs="Times New Roman"/>
          <w:sz w:val="24"/>
          <w:lang w:eastAsia="zh-CN"/>
        </w:rPr>
        <w:t>供应商。</w:t>
      </w:r>
      <w:r>
        <w:rPr>
          <w:rFonts w:hint="eastAsia" w:ascii="方正仿宋_GBK" w:hAnsi="宋体" w:eastAsia="方正仿宋_GBK" w:cs="宋体"/>
          <w:color w:val="auto"/>
          <w:kern w:val="0"/>
          <w:sz w:val="24"/>
          <w:szCs w:val="24"/>
        </w:rPr>
        <w:t>供应商总得分为</w:t>
      </w:r>
      <w:r>
        <w:rPr>
          <w:rFonts w:hint="eastAsia" w:ascii="方正仿宋_GBK" w:hAnsi="宋体" w:eastAsia="方正仿宋_GBK"/>
          <w:color w:val="auto"/>
          <w:sz w:val="24"/>
          <w:szCs w:val="24"/>
          <w:lang w:eastAsia="zh-CN"/>
        </w:rPr>
        <w:t>报价</w:t>
      </w:r>
      <w:r>
        <w:rPr>
          <w:rFonts w:hint="eastAsia" w:ascii="方正仿宋_GBK" w:hAnsi="宋体" w:eastAsia="方正仿宋_GBK" w:cs="宋体"/>
          <w:color w:val="auto"/>
          <w:kern w:val="0"/>
          <w:sz w:val="24"/>
          <w:szCs w:val="24"/>
        </w:rPr>
        <w:t>、</w:t>
      </w:r>
      <w:r>
        <w:rPr>
          <w:rFonts w:hint="eastAsia" w:ascii="方正仿宋_GBK" w:hAnsi="宋体" w:eastAsia="方正仿宋_GBK" w:cs="宋体"/>
          <w:color w:val="auto"/>
          <w:kern w:val="0"/>
          <w:sz w:val="24"/>
          <w:szCs w:val="24"/>
          <w:lang w:eastAsia="zh-CN"/>
        </w:rPr>
        <w:t>技术部分</w:t>
      </w:r>
      <w:r>
        <w:rPr>
          <w:rFonts w:hint="eastAsia" w:ascii="方正仿宋_GBK" w:hAnsi="宋体" w:eastAsia="方正仿宋_GBK" w:cs="宋体"/>
          <w:color w:val="auto"/>
          <w:kern w:val="0"/>
          <w:sz w:val="24"/>
          <w:szCs w:val="24"/>
        </w:rPr>
        <w:t>、</w:t>
      </w:r>
      <w:r>
        <w:rPr>
          <w:rFonts w:hint="eastAsia" w:ascii="方正仿宋_GBK" w:hAnsi="宋体" w:eastAsia="方正仿宋_GBK" w:cs="宋体"/>
          <w:color w:val="auto"/>
          <w:kern w:val="0"/>
          <w:sz w:val="24"/>
          <w:szCs w:val="24"/>
          <w:lang w:eastAsia="zh-CN"/>
        </w:rPr>
        <w:t>商务部分</w:t>
      </w:r>
      <w:r>
        <w:rPr>
          <w:rFonts w:hint="eastAsia" w:ascii="方正仿宋_GBK" w:hAnsi="宋体" w:eastAsia="方正仿宋_GBK" w:cs="宋体"/>
          <w:color w:val="auto"/>
          <w:kern w:val="0"/>
          <w:sz w:val="24"/>
          <w:szCs w:val="24"/>
        </w:rPr>
        <w:t>等评定因素分别按照相应权重值计算分项得分后相加，满分为10</w:t>
      </w:r>
      <w:r>
        <w:rPr>
          <w:rFonts w:hint="eastAsia" w:ascii="方正仿宋_GBK" w:hAnsi="宋体" w:eastAsia="方正仿宋_GBK" w:cs="宋体"/>
          <w:color w:val="auto"/>
          <w:kern w:val="0"/>
          <w:sz w:val="24"/>
          <w:szCs w:val="24"/>
          <w:lang w:val="en-US" w:eastAsia="zh-CN"/>
        </w:rPr>
        <w:t>0</w:t>
      </w:r>
      <w:r>
        <w:rPr>
          <w:rFonts w:hint="eastAsia" w:ascii="方正仿宋_GBK" w:hAnsi="宋体" w:eastAsia="方正仿宋_GBK" w:cs="宋体"/>
          <w:color w:val="auto"/>
          <w:kern w:val="0"/>
          <w:sz w:val="24"/>
          <w:szCs w:val="24"/>
        </w:rPr>
        <w:t>分</w:t>
      </w:r>
      <w:r>
        <w:rPr>
          <w:rFonts w:hint="eastAsia" w:ascii="方正仿宋_GBK" w:hAnsi="宋体" w:eastAsia="方正仿宋_GBK"/>
          <w:color w:val="auto"/>
          <w:sz w:val="24"/>
          <w:szCs w:val="24"/>
        </w:rPr>
        <w:t>（详见评审标准）。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评审小组各成员独立对每个实质性响应文件进行评价、打分，然后汇总每个供应商每项评分因素的得分，并根据综合评分情况按照评审得分由高到低顺序推荐3名及以上成交候选供应商，并编写评审报告。若供应商的评审得分相同的，按照报价由低到高的顺序排列推荐。评审得分且报价相同的，按照技术指标优劣顺序排列推荐。若所推荐的成交供应商的技术部分为0分，将失去成为成交候选供应商的资格。</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s="Times New Roman"/>
          <w:color w:val="000000" w:themeColor="text1"/>
          <w:sz w:val="24"/>
          <w:lang w:eastAsia="zh-CN"/>
          <w14:textFill>
            <w14:solidFill>
              <w14:schemeClr w14:val="tx1"/>
            </w14:solidFill>
          </w14:textFill>
        </w:rPr>
      </w:pPr>
      <w:r>
        <w:rPr>
          <w:rFonts w:hint="eastAsia" w:ascii="方正仿宋_GBK" w:hAnsi="宋体" w:eastAsia="方正仿宋_GBK" w:cs="Times New Roman"/>
          <w:color w:val="000000" w:themeColor="text1"/>
          <w:sz w:val="24"/>
          <w:lang w:eastAsia="zh-CN"/>
          <w14:textFill>
            <w14:solidFill>
              <w14:schemeClr w14:val="tx1"/>
            </w14:solidFill>
          </w14:textFill>
        </w:rPr>
        <w:t>（三）评审标准</w:t>
      </w:r>
    </w:p>
    <w:tbl>
      <w:tblPr>
        <w:tblStyle w:val="13"/>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74"/>
        <w:gridCol w:w="718"/>
        <w:gridCol w:w="436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序号</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评分因素及权值</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分值</w:t>
            </w:r>
          </w:p>
        </w:tc>
        <w:tc>
          <w:tcPr>
            <w:tcW w:w="43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评分标准</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报价（</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21"/>
                <w:szCs w:val="21"/>
                <w14:textFill>
                  <w14:solidFill>
                    <w14:schemeClr w14:val="tx1"/>
                  </w14:solidFill>
                </w14:textFill>
              </w:rPr>
              <w:t>%）</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1"/>
                <w:szCs w:val="21"/>
                <w14:textFill>
                  <w14:solidFill>
                    <w14:schemeClr w14:val="tx1"/>
                  </w14:solidFill>
                </w14:textFill>
              </w:rPr>
              <w:t>0</w:t>
            </w:r>
          </w:p>
        </w:tc>
        <w:tc>
          <w:tcPr>
            <w:tcW w:w="43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满足资格性、符合性要求且报价最低的供应商的价格为基准价，其价格分为满分。其他投标人的价格分统一按照下列公式计算。</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投标报价得分＝（评标基准价/投标报价）×价格权重×100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（保留两位小数）</w:t>
            </w:r>
            <w:r>
              <w:rPr>
                <w:rFonts w:hint="eastAsia" w:ascii="方正仿宋_GBK" w:hAnsi="方正仿宋_GBK" w:eastAsia="方正仿宋_GBK" w:cs="方正仿宋_GBK"/>
                <w:color w:val="000000" w:themeColor="text1"/>
                <w:sz w:val="21"/>
                <w:szCs w:val="21"/>
                <w14:textFill>
                  <w14:solidFill>
                    <w14:schemeClr w14:val="tx1"/>
                  </w14:solidFill>
                </w14:textFill>
              </w:rPr>
              <w:t>。</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olor w:val="000000" w:themeColor="text1"/>
                <w14:textFill>
                  <w14:solidFill>
                    <w14:schemeClr w14:val="tx1"/>
                  </w14:solidFill>
                </w14:textFill>
              </w:rPr>
            </w:pPr>
            <w:r>
              <w:rPr>
                <w:rFonts w:hint="eastAsia" w:ascii="宋体" w:hAnsi="宋体" w:eastAsia="宋体" w:cs="宋体"/>
                <w:color w:val="000000"/>
                <w:kern w:val="2"/>
                <w:sz w:val="24"/>
                <w:szCs w:val="24"/>
                <w:lang w:eastAsia="zh-CN"/>
              </w:rPr>
              <w:t>报价明显低于市场成本价或恶意报价的供应商，将取消评标资格）。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27" w:hRule="atLeast"/>
          <w:jc w:val="center"/>
        </w:trPr>
        <w:tc>
          <w:tcPr>
            <w:tcW w:w="852"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w:t>
            </w:r>
          </w:p>
        </w:tc>
        <w:tc>
          <w:tcPr>
            <w:tcW w:w="1974" w:type="dxa"/>
            <w:tcBorders>
              <w:top w:val="single" w:color="auto" w:sz="4" w:space="0"/>
              <w:left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技术部分（</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40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spacing w:line="240" w:lineRule="auto"/>
              <w:ind w:firstLine="0" w:firstLineChars="0"/>
              <w:rPr>
                <w:rFonts w:hint="default" w:ascii="方正仿宋_GBK" w:hAnsi="方正仿宋_GBK" w:eastAsia="方正仿宋_GBK" w:cs="方正仿宋_GBK"/>
                <w:color w:val="000000" w:themeColor="text1"/>
                <w:sz w:val="21"/>
                <w:szCs w:val="21"/>
                <w:lang w:val="en-US" w:eastAsia="zh-CN"/>
                <w14:textFill>
                  <w14:solidFill>
                    <w14:schemeClr w14:val="tx1"/>
                  </w14:solidFill>
                </w14:textFill>
              </w:rPr>
            </w:pPr>
          </w:p>
        </w:tc>
        <w:tc>
          <w:tcPr>
            <w:tcW w:w="718"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default"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40</w:t>
            </w:r>
          </w:p>
        </w:tc>
        <w:tc>
          <w:tcPr>
            <w:tcW w:w="4364" w:type="dxa"/>
            <w:tcBorders>
              <w:top w:val="single" w:color="auto" w:sz="4" w:space="0"/>
              <w:left w:val="single" w:color="auto" w:sz="4" w:space="0"/>
              <w:right w:val="single" w:color="auto" w:sz="4" w:space="0"/>
            </w:tcBorders>
            <w:noWrap w:val="0"/>
            <w:vAlign w:val="center"/>
          </w:tcPr>
          <w:p>
            <w:pPr>
              <w:spacing w:line="320" w:lineRule="exact"/>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、样品的总体外观、做工质量（</w:t>
            </w:r>
            <w:r>
              <w:rPr>
                <w:rFonts w:hint="eastAsia" w:ascii="宋体" w:hAnsi="宋体" w:cs="宋体"/>
                <w:color w:val="000000"/>
                <w:kern w:val="2"/>
                <w:sz w:val="24"/>
                <w:szCs w:val="24"/>
                <w:lang w:val="en-US" w:eastAsia="zh-CN"/>
              </w:rPr>
              <w:t>4</w:t>
            </w:r>
            <w:bookmarkStart w:id="44" w:name="_GoBack"/>
            <w:bookmarkEnd w:id="44"/>
            <w:r>
              <w:rPr>
                <w:rFonts w:hint="eastAsia" w:ascii="宋体" w:hAnsi="宋体" w:eastAsia="宋体" w:cs="宋体"/>
                <w:color w:val="000000"/>
                <w:kern w:val="2"/>
                <w:sz w:val="24"/>
                <w:szCs w:val="24"/>
                <w:lang w:val="en-US" w:eastAsia="zh-CN"/>
              </w:rPr>
              <w:t>0</w:t>
            </w:r>
            <w:r>
              <w:rPr>
                <w:rFonts w:hint="eastAsia" w:ascii="宋体" w:hAnsi="宋体" w:eastAsia="宋体" w:cs="宋体"/>
                <w:color w:val="000000"/>
                <w:kern w:val="2"/>
                <w:sz w:val="24"/>
                <w:szCs w:val="24"/>
              </w:rPr>
              <w:t>分）</w:t>
            </w:r>
          </w:p>
          <w:p>
            <w:pPr>
              <w:spacing w:line="320" w:lineRule="exact"/>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2、</w:t>
            </w:r>
            <w:r>
              <w:rPr>
                <w:rFonts w:hint="eastAsia" w:ascii="宋体" w:hAnsi="宋体" w:eastAsia="宋体" w:cs="宋体"/>
                <w:color w:val="000000"/>
                <w:kern w:val="2"/>
                <w:sz w:val="24"/>
                <w:szCs w:val="24"/>
              </w:rPr>
              <w:t>样品</w:t>
            </w:r>
            <w:r>
              <w:rPr>
                <w:rFonts w:hint="eastAsia" w:ascii="宋体" w:hAnsi="宋体" w:eastAsia="宋体" w:cs="宋体"/>
                <w:color w:val="000000"/>
                <w:kern w:val="2"/>
                <w:sz w:val="24"/>
                <w:szCs w:val="24"/>
                <w:lang w:val="en-US" w:eastAsia="zh-CN"/>
              </w:rPr>
              <w:t>做工</w:t>
            </w:r>
            <w:r>
              <w:rPr>
                <w:rFonts w:hint="eastAsia" w:ascii="宋体" w:hAnsi="宋体" w:eastAsia="宋体" w:cs="宋体"/>
                <w:color w:val="000000"/>
                <w:kern w:val="2"/>
                <w:sz w:val="24"/>
                <w:szCs w:val="24"/>
              </w:rPr>
              <w:t>好且无缺陷与采购人标准</w:t>
            </w:r>
            <w:r>
              <w:rPr>
                <w:rFonts w:hint="eastAsia" w:ascii="宋体" w:hAnsi="宋体" w:eastAsia="宋体" w:cs="宋体"/>
                <w:color w:val="000000"/>
                <w:kern w:val="2"/>
                <w:sz w:val="24"/>
                <w:szCs w:val="24"/>
                <w:lang w:val="en-US" w:eastAsia="zh-CN"/>
              </w:rPr>
              <w:t>品</w:t>
            </w:r>
            <w:r>
              <w:rPr>
                <w:rFonts w:hint="eastAsia" w:ascii="宋体" w:hAnsi="宋体" w:eastAsia="宋体" w:cs="宋体"/>
                <w:color w:val="000000"/>
                <w:kern w:val="2"/>
                <w:sz w:val="24"/>
                <w:szCs w:val="24"/>
              </w:rPr>
              <w:t>高度一致得</w:t>
            </w:r>
            <w:r>
              <w:rPr>
                <w:rFonts w:hint="eastAsia" w:ascii="宋体" w:hAnsi="宋体" w:eastAsia="宋体" w:cs="宋体"/>
                <w:color w:val="000000"/>
                <w:kern w:val="2"/>
                <w:sz w:val="24"/>
                <w:szCs w:val="24"/>
                <w:lang w:val="en-US" w:eastAsia="zh-CN"/>
              </w:rPr>
              <w:t>40</w:t>
            </w:r>
            <w:r>
              <w:rPr>
                <w:rFonts w:hint="eastAsia" w:ascii="宋体" w:hAnsi="宋体" w:eastAsia="宋体" w:cs="宋体"/>
                <w:color w:val="000000"/>
                <w:kern w:val="2"/>
                <w:sz w:val="24"/>
                <w:szCs w:val="24"/>
              </w:rPr>
              <w:t>分；</w:t>
            </w:r>
          </w:p>
          <w:p>
            <w:pPr>
              <w:spacing w:line="320" w:lineRule="exact"/>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r>
              <w:rPr>
                <w:rFonts w:hint="eastAsia" w:ascii="宋体" w:hAnsi="宋体" w:eastAsia="宋体" w:cs="宋体"/>
                <w:color w:val="000000"/>
                <w:kern w:val="2"/>
                <w:sz w:val="24"/>
                <w:szCs w:val="24"/>
              </w:rPr>
              <w:t>整体效果较好无缺陷与采购人标准品基本一致得</w:t>
            </w:r>
            <w:r>
              <w:rPr>
                <w:rFonts w:hint="eastAsia" w:ascii="宋体" w:hAnsi="宋体" w:eastAsia="宋体" w:cs="宋体"/>
                <w:color w:val="000000"/>
                <w:kern w:val="2"/>
                <w:sz w:val="24"/>
                <w:szCs w:val="24"/>
                <w:lang w:val="en-US" w:eastAsia="zh-CN"/>
              </w:rPr>
              <w:t>15</w:t>
            </w:r>
            <w:r>
              <w:rPr>
                <w:rFonts w:hint="eastAsia" w:ascii="宋体" w:hAnsi="宋体" w:eastAsia="宋体" w:cs="宋体"/>
                <w:color w:val="000000"/>
                <w:kern w:val="2"/>
                <w:sz w:val="24"/>
                <w:szCs w:val="24"/>
              </w:rPr>
              <w:t>分；</w:t>
            </w:r>
            <w:r>
              <w:rPr>
                <w:rFonts w:hint="eastAsia" w:ascii="宋体" w:hAnsi="宋体" w:cs="宋体"/>
                <w:color w:val="000000"/>
                <w:kern w:val="2"/>
                <w:sz w:val="24"/>
                <w:szCs w:val="24"/>
                <w:lang w:val="en-US" w:eastAsia="zh-CN"/>
              </w:rPr>
              <w:t xml:space="preserve">                  </w:t>
            </w:r>
            <w:r>
              <w:rPr>
                <w:rFonts w:hint="eastAsia" w:ascii="宋体" w:hAnsi="宋体" w:eastAsia="宋体" w:cs="宋体"/>
                <w:color w:val="000000"/>
                <w:kern w:val="2"/>
                <w:sz w:val="24"/>
                <w:szCs w:val="24"/>
                <w:lang w:val="en-US" w:eastAsia="zh-CN"/>
              </w:rPr>
              <w:t>4、</w:t>
            </w:r>
            <w:r>
              <w:rPr>
                <w:rFonts w:hint="eastAsia" w:ascii="宋体" w:hAnsi="宋体" w:eastAsia="宋体" w:cs="宋体"/>
                <w:color w:val="000000"/>
                <w:kern w:val="2"/>
                <w:sz w:val="24"/>
                <w:szCs w:val="24"/>
              </w:rPr>
              <w:t>整体效果不好有明显缺陷与采购人标准品有差异的，得</w:t>
            </w:r>
            <w:r>
              <w:rPr>
                <w:rFonts w:hint="eastAsia" w:ascii="宋体" w:hAnsi="宋体" w:eastAsia="宋体" w:cs="宋体"/>
                <w:color w:val="000000"/>
                <w:kern w:val="2"/>
                <w:sz w:val="24"/>
                <w:szCs w:val="24"/>
                <w:lang w:val="en-US" w:eastAsia="zh-CN"/>
              </w:rPr>
              <w:t>5</w:t>
            </w:r>
            <w:r>
              <w:rPr>
                <w:rFonts w:hint="eastAsia" w:ascii="宋体" w:hAnsi="宋体" w:eastAsia="宋体" w:cs="宋体"/>
                <w:color w:val="000000"/>
                <w:kern w:val="2"/>
                <w:sz w:val="24"/>
                <w:szCs w:val="24"/>
              </w:rPr>
              <w:t>分</w:t>
            </w:r>
            <w:r>
              <w:rPr>
                <w:rFonts w:hint="eastAsia" w:ascii="宋体" w:hAnsi="宋体" w:eastAsia="宋体" w:cs="宋体"/>
                <w:color w:val="000000"/>
                <w:kern w:val="2"/>
                <w:sz w:val="24"/>
                <w:szCs w:val="24"/>
                <w:lang w:eastAsia="zh-CN"/>
              </w:rPr>
              <w:t>。</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829" w:type="dxa"/>
            <w:tcBorders>
              <w:top w:val="single" w:color="auto" w:sz="4" w:space="0"/>
              <w:left w:val="single" w:color="auto" w:sz="4" w:space="0"/>
              <w:right w:val="single" w:color="auto" w:sz="4" w:space="0"/>
            </w:tcBorders>
            <w:noWrap w:val="0"/>
            <w:vAlign w:val="center"/>
          </w:tcPr>
          <w:p>
            <w:pPr>
              <w:spacing w:line="240" w:lineRule="auto"/>
              <w:ind w:firstLine="0" w:firstLineChars="0"/>
              <w:rPr>
                <w:rFonts w:hint="eastAsia"/>
                <w:color w:val="000000" w:themeColor="text1"/>
                <w14:textFill>
                  <w14:solidFill>
                    <w14:schemeClr w14:val="tx1"/>
                  </w14:solidFill>
                </w14:textFill>
              </w:rPr>
            </w:pPr>
            <w:r>
              <w:rPr>
                <w:rFonts w:hint="eastAsia" w:ascii="宋体" w:hAnsi="宋体" w:eastAsia="宋体" w:cs="宋体"/>
                <w:color w:val="000000"/>
                <w:kern w:val="2"/>
                <w:sz w:val="24"/>
                <w:szCs w:val="24"/>
              </w:rPr>
              <w:t>未提供样品不得推荐为成交供应商。</w:t>
            </w:r>
          </w:p>
        </w:tc>
      </w:tr>
    </w:tbl>
    <w:p>
      <w:pPr>
        <w:pStyle w:val="4"/>
        <w:spacing w:line="240" w:lineRule="auto"/>
        <w:rPr>
          <w:rFonts w:hint="eastAsia"/>
          <w:color w:val="000000" w:themeColor="text1"/>
          <w:lang w:eastAsia="zh-CN"/>
          <w14:textFill>
            <w14:solidFill>
              <w14:schemeClr w14:val="tx1"/>
            </w14:solidFill>
          </w14:textFill>
        </w:rPr>
        <w:sectPr>
          <w:pgSz w:w="11905" w:h="16838"/>
          <w:pgMar w:top="1134" w:right="1134" w:bottom="1134" w:left="1134" w:header="851" w:footer="850" w:gutter="0"/>
          <w:pgNumType w:fmt="numberInDash"/>
          <w:cols w:space="0" w:num="1"/>
          <w:rtlGutter w:val="0"/>
          <w:docGrid w:linePitch="380" w:charSpace="0"/>
        </w:sectPr>
      </w:pPr>
    </w:p>
    <w:p>
      <w:pPr>
        <w:pStyle w:val="3"/>
        <w:pageBreakBefore w:val="0"/>
        <w:widowControl w:val="0"/>
        <w:numPr>
          <w:ilvl w:val="0"/>
          <w:numId w:val="0"/>
        </w:numPr>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bCs/>
          <w:kern w:val="2"/>
          <w:sz w:val="36"/>
          <w:szCs w:val="30"/>
          <w:lang w:val="en-US" w:eastAsia="zh-CN" w:bidi="ar-SA"/>
        </w:rPr>
      </w:pPr>
      <w:r>
        <w:rPr>
          <w:rFonts w:hint="eastAsia" w:ascii="宋体" w:hAnsi="宋体" w:eastAsia="宋体" w:cs="宋体"/>
          <w:b/>
          <w:bCs/>
          <w:kern w:val="2"/>
          <w:sz w:val="36"/>
          <w:szCs w:val="30"/>
          <w:lang w:val="en-US" w:eastAsia="zh-CN" w:bidi="ar-SA"/>
        </w:rPr>
        <w:t>第五篇 响应文件</w:t>
      </w:r>
      <w:bookmarkStart w:id="19" w:name="_Toc12789072"/>
      <w:bookmarkStart w:id="20" w:name="_Toc511909622"/>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w:t>
      </w:r>
      <w:r>
        <w:rPr>
          <w:rFonts w:hint="eastAsia" w:ascii="方正仿宋_GBK" w:hAnsi="宋体" w:eastAsia="方正仿宋_GBK" w:cs="Times New Roman"/>
          <w:sz w:val="24"/>
          <w:lang w:val="en-US" w:eastAsia="zh-CN"/>
        </w:rPr>
        <w:t xml:space="preserve"> </w:t>
      </w:r>
      <w:r>
        <w:rPr>
          <w:rFonts w:hint="eastAsia" w:ascii="方正仿宋_GBK" w:hAnsi="宋体" w:eastAsia="方正仿宋_GBK" w:cs="Times New Roman"/>
          <w:sz w:val="24"/>
          <w:lang w:eastAsia="zh-CN"/>
        </w:rPr>
        <w:t>供应商提交响应文件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（1）每个分包响应文件一式两份，其中正本一份，副本一份，副本应为正本的完整复印件，副本与正本不一致时以正本为准。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（2）每个分包响应文件正本每一页应加盖公章（响应文件格式中规定签字、盖章的地方必须按其规定签字、盖章）。</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（3）若投标人对响应文件的错处作必要修改，则应在修改处加盖投标人公章或由法人或法人授权代表签字确认。</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（4）电报、电话、传真形式的响应文件概不接受。</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（二）响应文件正副本封面标记要求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每个分包响应文件的正本、副本的封面上均应注明项目名称、项目编号、分包号、投标人名称、正本、副本、响应文件等字样，并在封面上加盖投标人公章。</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（三）响应文件的包装及包装封面要求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w:t>
      </w:r>
      <w:r>
        <w:rPr>
          <w:rFonts w:hint="eastAsia" w:ascii="方正仿宋_GBK" w:hAnsi="宋体" w:eastAsia="方正仿宋_GBK" w:cs="Times New Roman"/>
          <w:sz w:val="24"/>
          <w:lang w:val="en-US" w:eastAsia="zh-CN"/>
        </w:rPr>
        <w:t>1</w:t>
      </w:r>
      <w:r>
        <w:rPr>
          <w:rFonts w:hint="eastAsia" w:ascii="方正仿宋_GBK" w:hAnsi="宋体" w:eastAsia="方正仿宋_GBK" w:cs="Times New Roman"/>
          <w:sz w:val="24"/>
          <w:lang w:eastAsia="zh-CN"/>
        </w:rPr>
        <w:t>）响应文件的正副本包装在一起（装成一袋），如因正副本较厚，无法装入一袋的可以分开装袋。</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（3）响应文件的包装或装袋的封面上应注明项目名称、分包号、投标人名称、响应文件、投标日期等字样</w:t>
      </w:r>
      <w:bookmarkStart w:id="21" w:name="_Toc477027607"/>
      <w:r>
        <w:rPr>
          <w:rFonts w:hint="eastAsia" w:ascii="方正仿宋_GBK" w:hAnsi="宋体" w:eastAsia="方正仿宋_GBK" w:cs="Times New Roman"/>
          <w:sz w:val="24"/>
          <w:lang w:eastAsia="zh-CN"/>
        </w:rPr>
        <w:t>，包装封口处进行密封并加盖供应商公章。</w:t>
      </w:r>
    </w:p>
    <w:bookmarkEnd w:id="21"/>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（四）如果采购文件要求必须提交的相关原件，原件应单独装袋（可以不进行密封），但应在装袋上标明“相关原件”及供应商名称。</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b w:val="0"/>
          <w:bCs w:val="0"/>
          <w:sz w:val="24"/>
          <w:lang w:eastAsia="zh-CN"/>
        </w:rPr>
      </w:pPr>
      <w:r>
        <w:rPr>
          <w:rFonts w:hint="eastAsia" w:ascii="方正仿宋_GBK" w:hAnsi="宋体" w:eastAsia="方正仿宋_GBK" w:cs="Times New Roman"/>
          <w:b w:val="0"/>
          <w:bCs w:val="0"/>
          <w:sz w:val="24"/>
          <w:lang w:eastAsia="zh-CN"/>
        </w:rPr>
        <w:t>（五）供应商编制响应文件要求</w:t>
      </w:r>
    </w:p>
    <w:bookmarkEnd w:id="19"/>
    <w:bookmarkEnd w:id="20"/>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bookmarkStart w:id="22" w:name="_Toc511909623"/>
      <w:bookmarkStart w:id="23" w:name="_Toc342913419"/>
      <w:bookmarkStart w:id="24" w:name="_Toc313008356"/>
      <w:bookmarkStart w:id="25" w:name="_Toc12789073"/>
      <w:bookmarkStart w:id="26" w:name="_Toc283382454"/>
      <w:bookmarkStart w:id="27" w:name="_Toc313888360"/>
      <w:r>
        <w:rPr>
          <w:rFonts w:hint="eastAsia" w:ascii="方正仿宋_GBK" w:hAnsi="宋体" w:eastAsia="方正仿宋_GBK" w:cs="Times New Roman"/>
          <w:sz w:val="24"/>
          <w:lang w:eastAsia="zh-CN"/>
        </w:rPr>
        <w:t>一、经济部分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（一）明细报价表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二、技术部分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（一）响应产品技术参数</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（二）技术响应偏离表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（三）服务方案</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三、商务部分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（一）商务响应偏离表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（二）其它优惠承诺</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四、资格条件及其他</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（一）营业执照（副本）或事业单位法人证书（副本）或个体工商户营业执照复印件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（二）组织机构代码证复印件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（三）税务登记证复印件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说明：供应商按“多证合一”登记制度办理营业执照的，组织机构代码证、税务登记证和社会保险登记证以供应商所提供的法人营业执照（副本）复印件为准。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（四）法定代表人身份证明书（格式）</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（五）法定代表人授权委托书（格式）</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（六）书面声明（格式）</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（七）</w:t>
      </w:r>
      <w:r>
        <w:rPr>
          <w:rFonts w:hint="eastAsia" w:ascii="方正仿宋_GBK" w:hAnsi="宋体" w:eastAsia="方正仿宋_GBK" w:cs="Times New Roman"/>
          <w:sz w:val="24"/>
          <w:lang w:val="en-US" w:eastAsia="zh-CN"/>
        </w:rPr>
        <w:t>2023年</w:t>
      </w:r>
      <w:r>
        <w:rPr>
          <w:rFonts w:hint="eastAsia" w:ascii="方正仿宋_GBK" w:hAnsi="宋体" w:eastAsia="方正仿宋_GBK" w:cs="Times New Roman"/>
          <w:sz w:val="24"/>
          <w:lang w:eastAsia="zh-CN"/>
        </w:rPr>
        <w:t>度财务状况报告（表）（表：资产负债表和损益表）复印件。本年度新成立或成立不满一年的组织提供投标截止时间前一个月的财务报告（表）复印件或可提供银行出具的资信证明复印件。自然人无法提供财务状况报告（表）的，可提供银行出具的资信证明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（八）社会保障金缴纳证明材料</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（九）特定资格条件证书或证明文件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五、其他资料</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其他与项目有关的资料（自附）</w:t>
      </w:r>
      <w:r>
        <w:rPr>
          <w:rFonts w:hint="eastAsia" w:ascii="方正仿宋_GBK" w:hAnsi="宋体" w:eastAsia="方正仿宋_GBK" w:cs="Times New Roman"/>
          <w:sz w:val="24"/>
          <w:lang w:val="en-US" w:eastAsia="zh-CN"/>
        </w:rPr>
        <w:t xml:space="preserve"> </w:t>
      </w:r>
    </w:p>
    <w:p>
      <w:pPr>
        <w:snapToGrid w:val="0"/>
        <w:spacing w:line="400" w:lineRule="exact"/>
        <w:ind w:firstLine="480" w:firstLineChars="200"/>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pStyle w:val="6"/>
        <w:rPr>
          <w:rFonts w:hint="eastAsia" w:ascii="方正仿宋_GBK" w:hAnsi="宋体" w:eastAsia="方正仿宋_GBK" w:cs="Times New Roman"/>
          <w:sz w:val="24"/>
          <w:lang w:eastAsia="zh-CN"/>
        </w:rPr>
      </w:pPr>
    </w:p>
    <w:p>
      <w:pPr>
        <w:snapToGrid w:val="0"/>
        <w:spacing w:line="400" w:lineRule="exact"/>
        <w:rPr>
          <w:rFonts w:hint="eastAsia" w:ascii="方正仿宋_GBK" w:hAnsi="宋体" w:eastAsia="方正仿宋_GBK" w:cs="Times New Roman"/>
          <w:sz w:val="24"/>
          <w:lang w:eastAsia="zh-CN"/>
        </w:rPr>
      </w:pPr>
    </w:p>
    <w:p>
      <w:pPr>
        <w:pStyle w:val="6"/>
        <w:rPr>
          <w:rFonts w:hint="eastAsia"/>
          <w:lang w:eastAsia="zh-CN"/>
        </w:rPr>
      </w:pPr>
    </w:p>
    <w:bookmarkEnd w:id="22"/>
    <w:bookmarkEnd w:id="23"/>
    <w:bookmarkEnd w:id="24"/>
    <w:bookmarkEnd w:id="25"/>
    <w:bookmarkEnd w:id="26"/>
    <w:bookmarkEnd w:id="27"/>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方正仿宋_GBK" w:hAnsi="宋体" w:eastAsia="方正仿宋_GBK" w:cs="Times New Roman"/>
          <w:sz w:val="24"/>
          <w:szCs w:val="24"/>
          <w:lang w:eastAsia="zh-CN"/>
        </w:rPr>
      </w:pPr>
      <w:r>
        <w:rPr>
          <w:rFonts w:hint="eastAsia" w:ascii="方正仿宋_GBK" w:hAnsi="方正仿宋_GBK" w:eastAsia="方正仿宋_GBK" w:cs="方正仿宋_GBK"/>
          <w:b/>
          <w:bCs/>
          <w:sz w:val="24"/>
          <w:szCs w:val="24"/>
          <w:lang w:eastAsia="zh-CN"/>
        </w:rPr>
        <w:t>一、经济部分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（一）明细报价表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方正仿宋_GBK" w:hAnsi="宋体" w:eastAsia="方正仿宋_GBK"/>
          <w:sz w:val="24"/>
          <w:u w:val="single"/>
        </w:rPr>
      </w:pPr>
      <w:r>
        <w:rPr>
          <w:rFonts w:hint="eastAsia" w:ascii="方正仿宋_GBK" w:hAnsi="宋体" w:eastAsia="方正仿宋_GBK"/>
          <w:sz w:val="24"/>
        </w:rPr>
        <w:t>项目名称</w:t>
      </w:r>
      <w:r>
        <w:rPr>
          <w:rFonts w:hint="eastAsia" w:ascii="方正仿宋_GBK" w:hAnsi="宋体" w:eastAsia="方正仿宋_GBK"/>
          <w:sz w:val="24"/>
          <w:lang w:val="en-US" w:eastAsia="zh-CN"/>
        </w:rPr>
        <w:t>+分包号</w:t>
      </w:r>
      <w:r>
        <w:rPr>
          <w:rFonts w:hint="eastAsia" w:ascii="方正仿宋_GBK" w:hAnsi="宋体" w:eastAsia="方正仿宋_GBK"/>
          <w:sz w:val="24"/>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方正仿宋_GBK" w:hAnsi="宋体" w:eastAsia="方正仿宋_GBK"/>
          <w:sz w:val="24"/>
        </w:rPr>
      </w:pPr>
      <w:r>
        <w:rPr>
          <w:rFonts w:hint="eastAsia" w:ascii="方正仿宋_GBK" w:hAnsi="宋体" w:eastAsia="方正仿宋_GBK"/>
          <w:sz w:val="24"/>
        </w:rPr>
        <w:t>项目编号：</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56"/>
        <w:gridCol w:w="2183"/>
        <w:gridCol w:w="206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676"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名称</w:t>
            </w:r>
          </w:p>
        </w:tc>
        <w:tc>
          <w:tcPr>
            <w:tcW w:w="1656"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品牌</w:t>
            </w:r>
          </w:p>
        </w:tc>
        <w:tc>
          <w:tcPr>
            <w:tcW w:w="2183"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2067"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规格</w:t>
            </w:r>
            <w:r>
              <w:rPr>
                <w:rFonts w:hint="eastAsia" w:ascii="方正仿宋_GBK" w:hAnsi="宋体" w:eastAsia="方正仿宋_GBK"/>
                <w:sz w:val="24"/>
                <w:szCs w:val="28"/>
                <w:lang w:eastAsia="zh-CN"/>
              </w:rPr>
              <w:t>（</w:t>
            </w:r>
            <w:r>
              <w:rPr>
                <w:rFonts w:hint="eastAsia" w:ascii="方正仿宋_GBK" w:hAnsi="宋体" w:eastAsia="方正仿宋_GBK"/>
                <w:sz w:val="24"/>
                <w:szCs w:val="28"/>
              </w:rPr>
              <w:t>型号</w:t>
            </w:r>
            <w:r>
              <w:rPr>
                <w:rFonts w:hint="eastAsia" w:ascii="方正仿宋_GBK" w:hAnsi="宋体" w:eastAsia="方正仿宋_GBK"/>
                <w:sz w:val="24"/>
                <w:szCs w:val="28"/>
                <w:lang w:eastAsia="zh-CN"/>
              </w:rPr>
              <w:t>）</w:t>
            </w:r>
          </w:p>
        </w:tc>
        <w:tc>
          <w:tcPr>
            <w:tcW w:w="1489" w:type="dxa"/>
            <w:vAlign w:val="center"/>
          </w:tcPr>
          <w:p>
            <w:pPr>
              <w:pStyle w:val="8"/>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8"/>
              <w:jc w:val="center"/>
              <w:rPr>
                <w:rFonts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eastAsia="zh-CN"/>
              </w:rPr>
              <w:t>元</w:t>
            </w:r>
            <w:r>
              <w:rPr>
                <w:rFonts w:hint="eastAsia" w:ascii="方正仿宋_GBK" w:hAnsi="宋体" w:eastAsia="方正仿宋_GBK"/>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6" w:type="dxa"/>
            <w:tcBorders>
              <w:bottom w:val="single" w:color="auto" w:sz="4" w:space="0"/>
            </w:tcBorders>
            <w:vAlign w:val="center"/>
          </w:tcPr>
          <w:p>
            <w:pPr>
              <w:jc w:val="center"/>
              <w:rPr>
                <w:rFonts w:ascii="方正仿宋_GBK" w:hAnsi="宋体" w:eastAsia="方正仿宋_GBK"/>
                <w:sz w:val="24"/>
                <w:szCs w:val="28"/>
              </w:rPr>
            </w:pPr>
          </w:p>
        </w:tc>
        <w:tc>
          <w:tcPr>
            <w:tcW w:w="1656" w:type="dxa"/>
            <w:tcBorders>
              <w:bottom w:val="single" w:color="auto" w:sz="4" w:space="0"/>
            </w:tcBorders>
            <w:vAlign w:val="center"/>
          </w:tcPr>
          <w:p>
            <w:pPr>
              <w:jc w:val="center"/>
              <w:rPr>
                <w:rFonts w:ascii="方正仿宋_GBK" w:hAnsi="宋体" w:eastAsia="方正仿宋_GBK"/>
                <w:sz w:val="24"/>
                <w:szCs w:val="28"/>
              </w:rPr>
            </w:pPr>
          </w:p>
        </w:tc>
        <w:tc>
          <w:tcPr>
            <w:tcW w:w="2183" w:type="dxa"/>
            <w:tcBorders>
              <w:bottom w:val="single" w:color="auto" w:sz="4" w:space="0"/>
            </w:tcBorders>
            <w:vAlign w:val="center"/>
          </w:tcPr>
          <w:p>
            <w:pPr>
              <w:jc w:val="center"/>
              <w:rPr>
                <w:rFonts w:ascii="方正仿宋_GBK" w:hAnsi="宋体" w:eastAsia="方正仿宋_GBK"/>
                <w:sz w:val="24"/>
                <w:szCs w:val="28"/>
              </w:rPr>
            </w:pPr>
          </w:p>
        </w:tc>
        <w:tc>
          <w:tcPr>
            <w:tcW w:w="2067" w:type="dxa"/>
            <w:tcBorders>
              <w:bottom w:val="single" w:color="auto" w:sz="4" w:space="0"/>
            </w:tcBorders>
            <w:vAlign w:val="center"/>
          </w:tcPr>
          <w:p>
            <w:pPr>
              <w:jc w:val="center"/>
              <w:rPr>
                <w:rFonts w:ascii="方正仿宋_GBK" w:hAnsi="宋体" w:eastAsia="方正仿宋_GBK"/>
                <w:sz w:val="24"/>
                <w:szCs w:val="28"/>
              </w:rPr>
            </w:pPr>
          </w:p>
        </w:tc>
        <w:tc>
          <w:tcPr>
            <w:tcW w:w="1489"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76" w:type="dxa"/>
            <w:vAlign w:val="center"/>
          </w:tcPr>
          <w:p>
            <w:pPr>
              <w:jc w:val="center"/>
              <w:rPr>
                <w:rFonts w:hint="eastAsia" w:ascii="方正仿宋_GBK" w:hAnsi="宋体" w:eastAsia="方正仿宋_GBK"/>
                <w:sz w:val="24"/>
                <w:szCs w:val="28"/>
                <w:lang w:eastAsia="zh-CN"/>
              </w:rPr>
            </w:pPr>
          </w:p>
        </w:tc>
        <w:tc>
          <w:tcPr>
            <w:tcW w:w="1656" w:type="dxa"/>
            <w:vAlign w:val="center"/>
          </w:tcPr>
          <w:p>
            <w:pPr>
              <w:jc w:val="center"/>
              <w:rPr>
                <w:rFonts w:ascii="方正仿宋_GBK" w:hAnsi="宋体" w:eastAsia="方正仿宋_GBK"/>
                <w:sz w:val="24"/>
                <w:szCs w:val="28"/>
              </w:rPr>
            </w:pPr>
          </w:p>
        </w:tc>
        <w:tc>
          <w:tcPr>
            <w:tcW w:w="2183" w:type="dxa"/>
            <w:vAlign w:val="center"/>
          </w:tcPr>
          <w:p>
            <w:pPr>
              <w:jc w:val="center"/>
              <w:rPr>
                <w:rFonts w:ascii="方正仿宋_GBK" w:hAnsi="宋体" w:eastAsia="方正仿宋_GBK"/>
                <w:sz w:val="24"/>
                <w:szCs w:val="28"/>
              </w:rPr>
            </w:pPr>
          </w:p>
        </w:tc>
        <w:tc>
          <w:tcPr>
            <w:tcW w:w="2067" w:type="dxa"/>
            <w:vAlign w:val="center"/>
          </w:tcPr>
          <w:p>
            <w:pPr>
              <w:jc w:val="center"/>
              <w:rPr>
                <w:rFonts w:ascii="方正仿宋_GBK" w:hAnsi="宋体" w:eastAsia="方正仿宋_GBK"/>
                <w:sz w:val="24"/>
                <w:szCs w:val="28"/>
              </w:rPr>
            </w:pPr>
          </w:p>
        </w:tc>
        <w:tc>
          <w:tcPr>
            <w:tcW w:w="1489"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76" w:type="dxa"/>
            <w:vAlign w:val="center"/>
          </w:tcPr>
          <w:p>
            <w:pPr>
              <w:jc w:val="center"/>
              <w:rPr>
                <w:rFonts w:ascii="方正仿宋_GBK" w:hAnsi="宋体" w:eastAsia="方正仿宋_GBK"/>
                <w:sz w:val="24"/>
                <w:szCs w:val="28"/>
              </w:rPr>
            </w:pPr>
          </w:p>
        </w:tc>
        <w:tc>
          <w:tcPr>
            <w:tcW w:w="1656" w:type="dxa"/>
            <w:vAlign w:val="center"/>
          </w:tcPr>
          <w:p>
            <w:pPr>
              <w:jc w:val="center"/>
              <w:rPr>
                <w:rFonts w:ascii="方正仿宋_GBK" w:hAnsi="宋体" w:eastAsia="方正仿宋_GBK"/>
                <w:sz w:val="24"/>
                <w:szCs w:val="28"/>
              </w:rPr>
            </w:pPr>
          </w:p>
        </w:tc>
        <w:tc>
          <w:tcPr>
            <w:tcW w:w="2183" w:type="dxa"/>
            <w:vAlign w:val="center"/>
          </w:tcPr>
          <w:p>
            <w:pPr>
              <w:jc w:val="center"/>
              <w:rPr>
                <w:rFonts w:ascii="方正仿宋_GBK" w:hAnsi="宋体" w:eastAsia="方正仿宋_GBK"/>
                <w:sz w:val="24"/>
                <w:szCs w:val="28"/>
              </w:rPr>
            </w:pPr>
          </w:p>
        </w:tc>
        <w:tc>
          <w:tcPr>
            <w:tcW w:w="2067" w:type="dxa"/>
            <w:vAlign w:val="center"/>
          </w:tcPr>
          <w:p>
            <w:pPr>
              <w:jc w:val="center"/>
              <w:rPr>
                <w:rFonts w:ascii="方正仿宋_GBK" w:hAnsi="宋体" w:eastAsia="方正仿宋_GBK"/>
                <w:sz w:val="24"/>
                <w:szCs w:val="28"/>
              </w:rPr>
            </w:pPr>
          </w:p>
        </w:tc>
        <w:tc>
          <w:tcPr>
            <w:tcW w:w="1489"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76" w:type="dxa"/>
            <w:tcBorders>
              <w:bottom w:val="single" w:color="auto" w:sz="4" w:space="0"/>
            </w:tcBorders>
            <w:vAlign w:val="center"/>
          </w:tcPr>
          <w:p>
            <w:pPr>
              <w:jc w:val="center"/>
              <w:rPr>
                <w:rFonts w:ascii="方正仿宋_GBK" w:hAnsi="宋体" w:eastAsia="方正仿宋_GBK"/>
                <w:sz w:val="24"/>
                <w:szCs w:val="28"/>
              </w:rPr>
            </w:pPr>
          </w:p>
        </w:tc>
        <w:tc>
          <w:tcPr>
            <w:tcW w:w="1656" w:type="dxa"/>
            <w:tcBorders>
              <w:bottom w:val="single" w:color="auto" w:sz="4" w:space="0"/>
            </w:tcBorders>
            <w:vAlign w:val="center"/>
          </w:tcPr>
          <w:p>
            <w:pPr>
              <w:jc w:val="center"/>
              <w:rPr>
                <w:rFonts w:ascii="方正仿宋_GBK" w:hAnsi="宋体" w:eastAsia="方正仿宋_GBK"/>
                <w:sz w:val="24"/>
                <w:szCs w:val="28"/>
              </w:rPr>
            </w:pPr>
          </w:p>
        </w:tc>
        <w:tc>
          <w:tcPr>
            <w:tcW w:w="2183" w:type="dxa"/>
            <w:tcBorders>
              <w:bottom w:val="single" w:color="auto" w:sz="4" w:space="0"/>
            </w:tcBorders>
            <w:vAlign w:val="center"/>
          </w:tcPr>
          <w:p>
            <w:pPr>
              <w:jc w:val="center"/>
              <w:rPr>
                <w:rFonts w:ascii="方正仿宋_GBK" w:hAnsi="宋体" w:eastAsia="方正仿宋_GBK"/>
                <w:sz w:val="24"/>
                <w:szCs w:val="28"/>
              </w:rPr>
            </w:pPr>
          </w:p>
        </w:tc>
        <w:tc>
          <w:tcPr>
            <w:tcW w:w="2067" w:type="dxa"/>
            <w:tcBorders>
              <w:bottom w:val="single" w:color="auto" w:sz="4" w:space="0"/>
            </w:tcBorders>
            <w:vAlign w:val="center"/>
          </w:tcPr>
          <w:p>
            <w:pPr>
              <w:jc w:val="center"/>
              <w:rPr>
                <w:rFonts w:ascii="方正仿宋_GBK" w:hAnsi="宋体" w:eastAsia="方正仿宋_GBK"/>
                <w:sz w:val="24"/>
                <w:szCs w:val="28"/>
              </w:rPr>
            </w:pPr>
          </w:p>
        </w:tc>
        <w:tc>
          <w:tcPr>
            <w:tcW w:w="1489"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76" w:type="dxa"/>
            <w:vAlign w:val="center"/>
          </w:tcPr>
          <w:p>
            <w:pPr>
              <w:jc w:val="center"/>
              <w:rPr>
                <w:rFonts w:ascii="方正仿宋_GBK" w:hAnsi="宋体" w:eastAsia="方正仿宋_GBK"/>
                <w:sz w:val="24"/>
                <w:szCs w:val="28"/>
              </w:rPr>
            </w:pPr>
          </w:p>
          <w:p>
            <w:pPr>
              <w:jc w:val="center"/>
              <w:rPr>
                <w:rFonts w:ascii="方正仿宋_GBK" w:hAnsi="宋体" w:eastAsia="方正仿宋_GBK"/>
                <w:sz w:val="24"/>
                <w:szCs w:val="28"/>
              </w:rPr>
            </w:pPr>
          </w:p>
        </w:tc>
        <w:tc>
          <w:tcPr>
            <w:tcW w:w="1656" w:type="dxa"/>
            <w:vAlign w:val="center"/>
          </w:tcPr>
          <w:p>
            <w:pPr>
              <w:jc w:val="center"/>
              <w:rPr>
                <w:rFonts w:ascii="方正仿宋_GBK" w:hAnsi="宋体" w:eastAsia="方正仿宋_GBK"/>
                <w:sz w:val="24"/>
                <w:szCs w:val="28"/>
              </w:rPr>
            </w:pPr>
          </w:p>
        </w:tc>
        <w:tc>
          <w:tcPr>
            <w:tcW w:w="2183" w:type="dxa"/>
            <w:vAlign w:val="center"/>
          </w:tcPr>
          <w:p>
            <w:pPr>
              <w:jc w:val="center"/>
              <w:rPr>
                <w:rFonts w:ascii="方正仿宋_GBK" w:hAnsi="宋体" w:eastAsia="方正仿宋_GBK"/>
                <w:sz w:val="24"/>
                <w:szCs w:val="28"/>
              </w:rPr>
            </w:pPr>
          </w:p>
        </w:tc>
        <w:tc>
          <w:tcPr>
            <w:tcW w:w="2067" w:type="dxa"/>
            <w:vAlign w:val="center"/>
          </w:tcPr>
          <w:p>
            <w:pPr>
              <w:jc w:val="center"/>
              <w:rPr>
                <w:rFonts w:ascii="方正仿宋_GBK" w:hAnsi="宋体" w:eastAsia="方正仿宋_GBK"/>
                <w:sz w:val="24"/>
                <w:szCs w:val="28"/>
              </w:rPr>
            </w:pPr>
          </w:p>
        </w:tc>
        <w:tc>
          <w:tcPr>
            <w:tcW w:w="1489"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76" w:type="dxa"/>
            <w:vAlign w:val="center"/>
          </w:tcPr>
          <w:p>
            <w:pPr>
              <w:jc w:val="center"/>
              <w:rPr>
                <w:rFonts w:ascii="方正仿宋_GBK" w:hAnsi="宋体" w:eastAsia="方正仿宋_GBK"/>
                <w:sz w:val="24"/>
                <w:szCs w:val="28"/>
              </w:rPr>
            </w:pPr>
          </w:p>
        </w:tc>
        <w:tc>
          <w:tcPr>
            <w:tcW w:w="1656" w:type="dxa"/>
            <w:vAlign w:val="center"/>
          </w:tcPr>
          <w:p>
            <w:pPr>
              <w:jc w:val="center"/>
              <w:rPr>
                <w:rFonts w:ascii="方正仿宋_GBK" w:hAnsi="宋体" w:eastAsia="方正仿宋_GBK"/>
                <w:sz w:val="24"/>
                <w:szCs w:val="28"/>
              </w:rPr>
            </w:pPr>
          </w:p>
        </w:tc>
        <w:tc>
          <w:tcPr>
            <w:tcW w:w="2183" w:type="dxa"/>
            <w:vAlign w:val="center"/>
          </w:tcPr>
          <w:p>
            <w:pPr>
              <w:jc w:val="center"/>
              <w:rPr>
                <w:rFonts w:ascii="方正仿宋_GBK" w:hAnsi="宋体" w:eastAsia="方正仿宋_GBK"/>
                <w:sz w:val="24"/>
                <w:szCs w:val="28"/>
              </w:rPr>
            </w:pPr>
          </w:p>
        </w:tc>
        <w:tc>
          <w:tcPr>
            <w:tcW w:w="2067" w:type="dxa"/>
            <w:vAlign w:val="center"/>
          </w:tcPr>
          <w:p>
            <w:pPr>
              <w:jc w:val="center"/>
              <w:rPr>
                <w:rFonts w:ascii="方正仿宋_GBK" w:hAnsi="宋体" w:eastAsia="方正仿宋_GBK"/>
                <w:sz w:val="24"/>
                <w:szCs w:val="28"/>
              </w:rPr>
            </w:pPr>
          </w:p>
        </w:tc>
        <w:tc>
          <w:tcPr>
            <w:tcW w:w="1489"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76" w:type="dxa"/>
            <w:vAlign w:val="center"/>
          </w:tcPr>
          <w:p>
            <w:pPr>
              <w:jc w:val="center"/>
              <w:rPr>
                <w:rFonts w:ascii="方正仿宋_GBK" w:hAnsi="宋体" w:eastAsia="方正仿宋_GBK"/>
                <w:sz w:val="24"/>
                <w:szCs w:val="28"/>
              </w:rPr>
            </w:pPr>
          </w:p>
        </w:tc>
        <w:tc>
          <w:tcPr>
            <w:tcW w:w="1656" w:type="dxa"/>
            <w:vAlign w:val="center"/>
          </w:tcPr>
          <w:p>
            <w:pPr>
              <w:jc w:val="center"/>
              <w:rPr>
                <w:rFonts w:ascii="方正仿宋_GBK" w:hAnsi="宋体" w:eastAsia="方正仿宋_GBK"/>
                <w:sz w:val="24"/>
                <w:szCs w:val="28"/>
              </w:rPr>
            </w:pPr>
          </w:p>
        </w:tc>
        <w:tc>
          <w:tcPr>
            <w:tcW w:w="2183" w:type="dxa"/>
            <w:vAlign w:val="center"/>
          </w:tcPr>
          <w:p>
            <w:pPr>
              <w:jc w:val="center"/>
              <w:rPr>
                <w:rFonts w:ascii="方正仿宋_GBK" w:hAnsi="宋体" w:eastAsia="方正仿宋_GBK"/>
                <w:sz w:val="24"/>
                <w:szCs w:val="28"/>
              </w:rPr>
            </w:pPr>
          </w:p>
        </w:tc>
        <w:tc>
          <w:tcPr>
            <w:tcW w:w="2067" w:type="dxa"/>
            <w:vAlign w:val="center"/>
          </w:tcPr>
          <w:p>
            <w:pPr>
              <w:jc w:val="center"/>
              <w:rPr>
                <w:rFonts w:ascii="方正仿宋_GBK" w:hAnsi="宋体" w:eastAsia="方正仿宋_GBK"/>
                <w:sz w:val="24"/>
                <w:szCs w:val="28"/>
              </w:rPr>
            </w:pPr>
          </w:p>
        </w:tc>
        <w:tc>
          <w:tcPr>
            <w:tcW w:w="1489"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676" w:type="dxa"/>
            <w:vAlign w:val="center"/>
          </w:tcPr>
          <w:p>
            <w:pPr>
              <w:jc w:val="center"/>
              <w:rPr>
                <w:rFonts w:ascii="方正仿宋_GBK" w:hAnsi="宋体" w:eastAsia="方正仿宋_GBK"/>
                <w:sz w:val="24"/>
                <w:szCs w:val="28"/>
              </w:rPr>
            </w:pPr>
          </w:p>
        </w:tc>
        <w:tc>
          <w:tcPr>
            <w:tcW w:w="1656" w:type="dxa"/>
            <w:vAlign w:val="center"/>
          </w:tcPr>
          <w:p>
            <w:pPr>
              <w:jc w:val="center"/>
              <w:rPr>
                <w:rFonts w:ascii="方正仿宋_GBK" w:hAnsi="宋体" w:eastAsia="方正仿宋_GBK"/>
                <w:sz w:val="24"/>
                <w:szCs w:val="28"/>
              </w:rPr>
            </w:pPr>
          </w:p>
        </w:tc>
        <w:tc>
          <w:tcPr>
            <w:tcW w:w="2183" w:type="dxa"/>
            <w:vAlign w:val="center"/>
          </w:tcPr>
          <w:p>
            <w:pPr>
              <w:jc w:val="center"/>
              <w:rPr>
                <w:rFonts w:ascii="方正仿宋_GBK" w:hAnsi="宋体" w:eastAsia="方正仿宋_GBK"/>
                <w:sz w:val="24"/>
                <w:szCs w:val="28"/>
              </w:rPr>
            </w:pPr>
          </w:p>
        </w:tc>
        <w:tc>
          <w:tcPr>
            <w:tcW w:w="2067" w:type="dxa"/>
            <w:vAlign w:val="center"/>
          </w:tcPr>
          <w:p>
            <w:pPr>
              <w:jc w:val="center"/>
              <w:rPr>
                <w:rFonts w:ascii="方正仿宋_GBK" w:hAnsi="宋体" w:eastAsia="方正仿宋_GBK"/>
                <w:sz w:val="24"/>
                <w:szCs w:val="28"/>
              </w:rPr>
            </w:pPr>
          </w:p>
        </w:tc>
        <w:tc>
          <w:tcPr>
            <w:tcW w:w="1489"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76" w:type="dxa"/>
            <w:vAlign w:val="center"/>
          </w:tcPr>
          <w:p>
            <w:pPr>
              <w:jc w:val="center"/>
              <w:rPr>
                <w:rFonts w:ascii="方正仿宋_GBK" w:hAnsi="宋体" w:eastAsia="方正仿宋_GBK"/>
                <w:sz w:val="24"/>
                <w:szCs w:val="28"/>
              </w:rPr>
            </w:pPr>
          </w:p>
        </w:tc>
        <w:tc>
          <w:tcPr>
            <w:tcW w:w="1656" w:type="dxa"/>
            <w:vAlign w:val="center"/>
          </w:tcPr>
          <w:p>
            <w:pPr>
              <w:jc w:val="center"/>
              <w:rPr>
                <w:rFonts w:ascii="方正仿宋_GBK" w:hAnsi="宋体" w:eastAsia="方正仿宋_GBK"/>
                <w:sz w:val="24"/>
                <w:szCs w:val="28"/>
              </w:rPr>
            </w:pPr>
          </w:p>
        </w:tc>
        <w:tc>
          <w:tcPr>
            <w:tcW w:w="2183" w:type="dxa"/>
            <w:vAlign w:val="center"/>
          </w:tcPr>
          <w:p>
            <w:pPr>
              <w:jc w:val="center"/>
              <w:rPr>
                <w:rFonts w:ascii="方正仿宋_GBK" w:hAnsi="宋体" w:eastAsia="方正仿宋_GBK"/>
                <w:sz w:val="24"/>
                <w:szCs w:val="28"/>
              </w:rPr>
            </w:pPr>
          </w:p>
        </w:tc>
        <w:tc>
          <w:tcPr>
            <w:tcW w:w="2067" w:type="dxa"/>
            <w:vAlign w:val="center"/>
          </w:tcPr>
          <w:p>
            <w:pPr>
              <w:jc w:val="center"/>
              <w:rPr>
                <w:rFonts w:ascii="方正仿宋_GBK" w:hAnsi="宋体" w:eastAsia="方正仿宋_GBK"/>
                <w:sz w:val="24"/>
                <w:szCs w:val="28"/>
              </w:rPr>
            </w:pPr>
          </w:p>
        </w:tc>
        <w:tc>
          <w:tcPr>
            <w:tcW w:w="1489" w:type="dxa"/>
            <w:vAlign w:val="center"/>
          </w:tcPr>
          <w:p>
            <w:pPr>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28" w:name="OLE_LINK1"/>
      <w:bookmarkStart w:id="29" w:name="OLE_LINK2"/>
      <w:r>
        <w:rPr>
          <w:rFonts w:hint="eastAsia" w:ascii="方正仿宋_GBK" w:hAnsi="宋体" w:eastAsia="方正仿宋_GBK"/>
          <w:sz w:val="24"/>
          <w:szCs w:val="28"/>
        </w:rPr>
        <w:t>，并逐页签字或盖章。</w:t>
      </w:r>
      <w:bookmarkEnd w:id="28"/>
      <w:bookmarkEnd w:id="29"/>
    </w:p>
    <w:p>
      <w:pPr>
        <w:snapToGrid w:val="0"/>
        <w:spacing w:line="500" w:lineRule="exact"/>
        <w:rPr>
          <w:rFonts w:ascii="方正仿宋_GBK" w:hAnsi="宋体" w:eastAsia="方正仿宋_GBK"/>
          <w:sz w:val="24"/>
        </w:rPr>
      </w:pPr>
      <w:r>
        <w:rPr>
          <w:rFonts w:hint="eastAsia" w:ascii="方正仿宋_GBK" w:hAnsi="宋体" w:eastAsia="方正仿宋_GBK"/>
          <w:sz w:val="24"/>
          <w:szCs w:val="28"/>
        </w:rPr>
        <w:t xml:space="preserve">       </w:t>
      </w:r>
    </w:p>
    <w:p>
      <w:pPr>
        <w:pStyle w:val="12"/>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rPr>
        <w:t xml:space="preserve">                                                    供应商名称（公章）：</w:t>
      </w:r>
    </w:p>
    <w:p>
      <w:pPr>
        <w:spacing w:line="360" w:lineRule="auto"/>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snapToGrid w:val="0"/>
        <w:spacing w:line="360" w:lineRule="auto"/>
        <w:ind w:firstLine="480" w:firstLineChars="200"/>
        <w:rPr>
          <w:rFonts w:ascii="方正仿宋_GBK" w:hAnsi="宋体" w:eastAsia="方正仿宋_GBK"/>
          <w:sz w:val="24"/>
          <w:bdr w:val="single" w:color="auto" w:sz="4" w:space="0"/>
        </w:rPr>
        <w:sectPr>
          <w:headerReference r:id="rId4" w:type="default"/>
          <w:pgSz w:w="11905" w:h="16838"/>
          <w:pgMar w:top="1134" w:right="1134" w:bottom="1134" w:left="1134" w:header="851" w:footer="992" w:gutter="0"/>
          <w:pgNumType w:fmt="numberInDash"/>
          <w:cols w:space="0" w:num="1"/>
          <w:rtlGutter w:val="0"/>
          <w:docGrid w:linePitch="380" w:charSpace="0"/>
        </w:sectPr>
      </w:pPr>
    </w:p>
    <w:p>
      <w:pPr>
        <w:pStyle w:val="4"/>
        <w:spacing w:before="0" w:after="0" w:line="360" w:lineRule="auto"/>
        <w:ind w:firstLine="482" w:firstLineChars="200"/>
        <w:rPr>
          <w:rFonts w:ascii="方正仿宋_GBK" w:hAnsi="宋体" w:eastAsia="方正仿宋_GBK"/>
          <w:sz w:val="24"/>
          <w:szCs w:val="24"/>
        </w:rPr>
      </w:pPr>
      <w:bookmarkStart w:id="30" w:name="_Toc342913420"/>
      <w:bookmarkStart w:id="31" w:name="_Toc313888361"/>
      <w:bookmarkStart w:id="32" w:name="_Toc511909624"/>
      <w:bookmarkStart w:id="33" w:name="_Toc313008357"/>
      <w:r>
        <w:rPr>
          <w:rFonts w:hint="eastAsia" w:ascii="方正仿宋_GBK" w:hAnsi="宋体" w:eastAsia="方正仿宋_GBK"/>
          <w:sz w:val="24"/>
          <w:szCs w:val="24"/>
        </w:rPr>
        <w:t>二、技术部分</w:t>
      </w:r>
      <w:bookmarkEnd w:id="30"/>
      <w:bookmarkEnd w:id="31"/>
      <w:bookmarkEnd w:id="32"/>
      <w:bookmarkEnd w:id="33"/>
    </w:p>
    <w:p>
      <w:pPr>
        <w:snapToGrid w:val="0"/>
        <w:spacing w:line="500" w:lineRule="exact"/>
        <w:ind w:firstLine="480" w:firstLineChars="200"/>
        <w:rPr>
          <w:rFonts w:hint="eastAsia" w:ascii="方正仿宋_GBK" w:hAnsi="宋体" w:eastAsia="方正仿宋_GBK" w:cs="Times New Roman"/>
          <w:sz w:val="24"/>
          <w:szCs w:val="28"/>
          <w:lang w:eastAsia="zh-CN"/>
        </w:rPr>
      </w:pPr>
      <w:r>
        <w:rPr>
          <w:rFonts w:hint="eastAsia" w:ascii="方正仿宋_GBK" w:hAnsi="宋体" w:eastAsia="方正仿宋_GBK" w:cs="Times New Roman"/>
          <w:sz w:val="24"/>
          <w:szCs w:val="28"/>
          <w:lang w:eastAsia="zh-CN"/>
        </w:rPr>
        <w:t>（一）响应产品技术参数</w:t>
      </w: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keepNext w:val="0"/>
        <w:keepLines w:val="0"/>
        <w:pageBreakBefore w:val="0"/>
        <w:widowControl/>
        <w:numPr>
          <w:ilvl w:val="0"/>
          <w:numId w:val="0"/>
        </w:numPr>
        <w:kinsoku/>
        <w:wordWrap/>
        <w:overflowPunct/>
        <w:topLinePunct w:val="0"/>
        <w:autoSpaceDE/>
        <w:autoSpaceDN/>
        <w:bidi w:val="0"/>
        <w:adjustRightInd w:val="0"/>
        <w:spacing w:line="440" w:lineRule="exact"/>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pacing w:line="440" w:lineRule="exact"/>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pacing w:line="44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（二）技术响应偏离表</w:t>
      </w:r>
    </w:p>
    <w:p>
      <w:pPr>
        <w:pStyle w:val="8"/>
        <w:keepNext w:val="0"/>
        <w:keepLines w:val="0"/>
        <w:pageBreakBefore w:val="0"/>
        <w:tabs>
          <w:tab w:val="left" w:pos="6300"/>
        </w:tabs>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lang w:val="en-US" w:eastAsia="zh-CN"/>
        </w:rPr>
        <w:t>+分包号</w:t>
      </w:r>
      <w:r>
        <w:rPr>
          <w:rFonts w:hint="eastAsia" w:ascii="方正仿宋_GBK" w:hAnsi="宋体" w:eastAsia="方正仿宋_GBK"/>
          <w:sz w:val="24"/>
        </w:rPr>
        <w:t>：</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eastAsia="方正仿宋_GBK"/>
          <w:lang w:eastAsia="zh-CN"/>
        </w:rPr>
      </w:pPr>
      <w:r>
        <w:rPr>
          <w:rFonts w:hint="eastAsia" w:ascii="方正仿宋_GBK" w:hAnsi="宋体" w:eastAsia="方正仿宋_GBK"/>
          <w:sz w:val="24"/>
          <w:lang w:eastAsia="zh-CN"/>
        </w:rPr>
        <w:t>项目编号</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795"/>
        <w:gridCol w:w="2901"/>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序号</w:t>
            </w:r>
          </w:p>
        </w:tc>
        <w:tc>
          <w:tcPr>
            <w:tcW w:w="2795"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采购需求</w:t>
            </w:r>
          </w:p>
        </w:tc>
        <w:tc>
          <w:tcPr>
            <w:tcW w:w="2901"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响应情况</w:t>
            </w:r>
          </w:p>
        </w:tc>
        <w:tc>
          <w:tcPr>
            <w:tcW w:w="2176"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9" w:type="dxa"/>
            <w:vAlign w:val="center"/>
          </w:tcPr>
          <w:p>
            <w:pPr>
              <w:tabs>
                <w:tab w:val="left" w:pos="6300"/>
              </w:tabs>
              <w:snapToGrid w:val="0"/>
              <w:jc w:val="center"/>
              <w:outlineLvl w:val="0"/>
              <w:rPr>
                <w:rFonts w:ascii="方正仿宋_GBK" w:hAnsi="宋体" w:eastAsia="方正仿宋_GBK"/>
                <w:b w:val="0"/>
                <w:bCs/>
                <w:szCs w:val="21"/>
              </w:rPr>
            </w:pPr>
          </w:p>
        </w:tc>
        <w:tc>
          <w:tcPr>
            <w:tcW w:w="2795" w:type="dxa"/>
            <w:vAlign w:val="center"/>
          </w:tcPr>
          <w:p>
            <w:pPr>
              <w:tabs>
                <w:tab w:val="left" w:pos="6300"/>
              </w:tabs>
              <w:snapToGrid w:val="0"/>
              <w:jc w:val="center"/>
              <w:outlineLvl w:val="0"/>
              <w:rPr>
                <w:rFonts w:ascii="方正仿宋_GBK" w:hAnsi="宋体" w:eastAsia="方正仿宋_GBK"/>
                <w:b w:val="0"/>
                <w:bCs/>
                <w:szCs w:val="21"/>
              </w:rPr>
            </w:pPr>
          </w:p>
        </w:tc>
        <w:tc>
          <w:tcPr>
            <w:tcW w:w="2901" w:type="dxa"/>
            <w:vAlign w:val="center"/>
          </w:tcPr>
          <w:p>
            <w:pPr>
              <w:tabs>
                <w:tab w:val="left" w:pos="6300"/>
              </w:tabs>
              <w:snapToGrid w:val="0"/>
              <w:jc w:val="center"/>
              <w:outlineLvl w:val="0"/>
              <w:rPr>
                <w:rFonts w:ascii="方正仿宋_GBK" w:hAnsi="宋体" w:eastAsia="方正仿宋_GBK"/>
                <w:b w:val="0"/>
                <w:bCs/>
                <w:szCs w:val="21"/>
              </w:rPr>
            </w:pPr>
          </w:p>
        </w:tc>
        <w:tc>
          <w:tcPr>
            <w:tcW w:w="2176" w:type="dxa"/>
            <w:vAlign w:val="center"/>
          </w:tcPr>
          <w:p>
            <w:pPr>
              <w:tabs>
                <w:tab w:val="left" w:pos="6300"/>
              </w:tabs>
              <w:snapToGrid w:val="0"/>
              <w:jc w:val="center"/>
              <w:outlineLvl w:val="0"/>
              <w:rPr>
                <w:rFonts w:ascii="方正仿宋_GBK" w:hAnsi="宋体" w:eastAsia="方正仿宋_GBK"/>
                <w:b w:val="0"/>
                <w:bCs/>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w:t>
      </w:r>
      <w:r>
        <w:rPr>
          <w:rFonts w:hint="eastAsia" w:ascii="方正仿宋_GBK" w:hAnsi="宋体" w:eastAsia="方正仿宋_GBK"/>
          <w:sz w:val="24"/>
          <w:szCs w:val="28"/>
          <w:lang w:eastAsia="zh-CN"/>
        </w:rPr>
        <w:t>或</w:t>
      </w:r>
      <w:r>
        <w:rPr>
          <w:rFonts w:hint="eastAsia" w:ascii="方正仿宋_GBK" w:hAnsi="宋体" w:eastAsia="方正仿宋_GBK"/>
          <w:sz w:val="24"/>
          <w:szCs w:val="28"/>
        </w:rPr>
        <w:t>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w:t>
      </w:r>
      <w:r>
        <w:rPr>
          <w:rFonts w:hint="eastAsia" w:ascii="方正仿宋_GBK" w:hAnsi="宋体" w:eastAsia="方正仿宋_GBK"/>
          <w:sz w:val="24"/>
          <w:lang w:eastAsia="zh-CN"/>
        </w:rPr>
        <w:t>第二篇</w:t>
      </w:r>
      <w:r>
        <w:rPr>
          <w:rFonts w:hint="eastAsia" w:ascii="方正仿宋_GBK" w:hAnsi="宋体" w:eastAsia="方正仿宋_GBK"/>
          <w:sz w:val="24"/>
          <w:lang w:val="en-US" w:eastAsia="zh-CN"/>
        </w:rPr>
        <w:t xml:space="preserve"> 采购技术需求</w:t>
      </w:r>
      <w:r>
        <w:rPr>
          <w:rFonts w:hint="eastAsia" w:ascii="方正仿宋_GBK" w:hAnsi="宋体" w:eastAsia="方正仿宋_GBK"/>
          <w:sz w:val="24"/>
        </w:rPr>
        <w:t>”中所列技术要求进行比较和响应；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方正仿宋_GBK" w:hAnsi="宋体" w:eastAsia="方正仿宋_GBK" w:cs="Times New Roman"/>
          <w:sz w:val="24"/>
          <w:lang w:eastAsia="zh-CN"/>
        </w:rPr>
      </w:pPr>
      <w:r>
        <w:rPr>
          <w:rFonts w:ascii="方正仿宋_GBK" w:eastAsia="方正仿宋_GBK"/>
          <w:b w:val="0"/>
        </w:rPr>
        <w:br w:type="page"/>
      </w:r>
      <w:bookmarkStart w:id="34" w:name="_Toc511909625"/>
      <w:bookmarkStart w:id="35" w:name="_Toc313008358"/>
      <w:bookmarkStart w:id="36" w:name="_Toc342913421"/>
      <w:bookmarkStart w:id="37" w:name="_Toc313888362"/>
      <w:r>
        <w:rPr>
          <w:rFonts w:hint="eastAsia" w:ascii="方正仿宋_GBK" w:hAnsi="宋体" w:eastAsia="方正仿宋_GBK" w:cs="Times New Roman"/>
          <w:sz w:val="24"/>
          <w:lang w:eastAsia="zh-CN"/>
        </w:rPr>
        <w:t>（三）服务方案</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方正仿宋_GBK" w:hAnsi="宋体" w:eastAsia="方正仿宋_GBK"/>
          <w:sz w:val="24"/>
          <w:szCs w:val="24"/>
        </w:rPr>
      </w:pPr>
    </w:p>
    <w:p>
      <w:pPr>
        <w:rPr>
          <w:rFonts w:hint="eastAsia"/>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方正仿宋_GBK" w:hAnsi="宋体" w:eastAsia="方正仿宋_GBK"/>
          <w:b/>
          <w:sz w:val="28"/>
          <w:szCs w:val="28"/>
          <w:lang w:eastAsia="zh-CN"/>
        </w:rPr>
      </w:pPr>
      <w:r>
        <w:rPr>
          <w:rFonts w:hint="eastAsia" w:ascii="方正仿宋_GBK" w:hAnsi="宋体" w:eastAsia="方正仿宋_GBK"/>
          <w:sz w:val="24"/>
          <w:szCs w:val="24"/>
        </w:rPr>
        <w:t>三、商务部分</w:t>
      </w:r>
      <w:bookmarkEnd w:id="3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商务响应偏离表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lang w:val="en-US" w:eastAsia="zh-CN"/>
        </w:rPr>
        <w:t>+分包号</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项目编号：</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3039"/>
        <w:gridCol w:w="2329"/>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序号</w:t>
            </w: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项目需求</w:t>
            </w: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响应情况</w:t>
            </w: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w:t>
      </w:r>
      <w:r>
        <w:rPr>
          <w:rFonts w:hint="eastAsia" w:ascii="方正仿宋_GBK" w:hAnsi="宋体" w:eastAsia="方正仿宋_GBK"/>
          <w:sz w:val="24"/>
          <w:szCs w:val="28"/>
          <w:lang w:eastAsia="zh-CN"/>
        </w:rPr>
        <w:t>或</w:t>
      </w:r>
      <w:r>
        <w:rPr>
          <w:rFonts w:hint="eastAsia" w:ascii="方正仿宋_GBK" w:hAnsi="宋体" w:eastAsia="方正仿宋_GBK"/>
          <w:sz w:val="24"/>
          <w:szCs w:val="28"/>
        </w:rPr>
        <w:t>授权代表：</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1.本表即为对本项目“</w:t>
      </w:r>
      <w:r>
        <w:rPr>
          <w:rFonts w:hint="eastAsia" w:ascii="方正仿宋_GBK" w:hAnsi="宋体" w:eastAsia="方正仿宋_GBK"/>
          <w:sz w:val="24"/>
          <w:lang w:eastAsia="zh-CN"/>
        </w:rPr>
        <w:t>第三篇</w:t>
      </w:r>
      <w:r>
        <w:rPr>
          <w:rFonts w:hint="eastAsia" w:ascii="方正仿宋_GBK" w:hAnsi="宋体" w:eastAsia="方正仿宋_GBK"/>
          <w:sz w:val="24"/>
          <w:lang w:val="en-US" w:eastAsia="zh-CN"/>
        </w:rPr>
        <w:t xml:space="preserve"> 项目商务需求</w:t>
      </w:r>
      <w:r>
        <w:rPr>
          <w:rFonts w:hint="eastAsia" w:ascii="方正仿宋_GBK" w:hAnsi="宋体" w:eastAsia="方正仿宋_GBK"/>
          <w:sz w:val="24"/>
        </w:rPr>
        <w:t>”中所列要求进行比较和响应，该表可扩展；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bookmarkStart w:id="38" w:name="_Toc511909626"/>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（二）其它优惠承诺</w:t>
      </w:r>
    </w:p>
    <w:p>
      <w:pPr>
        <w:pStyle w:val="4"/>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ascii="方正仿宋_GBK" w:hAnsi="宋体" w:eastAsia="方正仿宋_GBK"/>
          <w:sz w:val="24"/>
        </w:rPr>
      </w:pPr>
    </w:p>
    <w:p>
      <w:pPr>
        <w:pStyle w:val="6"/>
        <w:rPr>
          <w:rFonts w:hint="eastAsia" w:ascii="方正仿宋_GBK" w:hAnsi="宋体" w:eastAsia="方正仿宋_GBK"/>
          <w:sz w:val="24"/>
        </w:rPr>
      </w:pPr>
    </w:p>
    <w:p>
      <w:pPr>
        <w:rPr>
          <w:rFonts w:hint="eastAsia"/>
        </w:rPr>
      </w:pPr>
    </w:p>
    <w:p>
      <w:pPr>
        <w:rPr>
          <w:rFonts w:hint="eastAsia"/>
        </w:rPr>
      </w:pPr>
    </w:p>
    <w:p>
      <w:pPr>
        <w:pStyle w:val="4"/>
        <w:pageBreakBefore w:val="0"/>
        <w:widowControl w:val="0"/>
        <w:kinsoku/>
        <w:wordWrap/>
        <w:overflowPunct/>
        <w:topLinePunct w:val="0"/>
        <w:autoSpaceDE/>
        <w:autoSpaceDN/>
        <w:bidi w:val="0"/>
        <w:adjustRightInd/>
        <w:spacing w:before="0" w:after="0" w:line="440" w:lineRule="exact"/>
        <w:ind w:firstLine="482" w:firstLineChars="200"/>
        <w:textAlignment w:val="auto"/>
        <w:rPr>
          <w:rFonts w:ascii="方正仿宋_GBK" w:hAnsi="宋体" w:eastAsia="方正仿宋_GBK"/>
          <w:sz w:val="24"/>
          <w:szCs w:val="24"/>
        </w:rPr>
      </w:pPr>
      <w:r>
        <w:rPr>
          <w:rFonts w:hint="eastAsia" w:ascii="方正仿宋_GBK" w:hAnsi="宋体" w:eastAsia="方正仿宋_GBK"/>
          <w:sz w:val="24"/>
          <w:szCs w:val="24"/>
        </w:rPr>
        <w:t>四、</w:t>
      </w:r>
      <w:bookmarkEnd w:id="35"/>
      <w:bookmarkEnd w:id="36"/>
      <w:bookmarkEnd w:id="37"/>
      <w:r>
        <w:rPr>
          <w:rFonts w:hint="eastAsia" w:ascii="方正仿宋_GBK" w:hAnsi="宋体" w:eastAsia="方正仿宋_GBK"/>
          <w:sz w:val="24"/>
          <w:szCs w:val="24"/>
        </w:rPr>
        <w:t>资格条件及其他</w:t>
      </w:r>
      <w:bookmarkEnd w:id="38"/>
      <w:bookmarkStart w:id="39" w:name="_Toc313008359"/>
      <w:bookmarkStart w:id="40" w:name="_Toc342913422"/>
      <w:bookmarkStart w:id="41" w:name="_Toc313888363"/>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（一）营业执照（副本）或事业单位法人证书（副本）复印件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000000"/>
          <w:sz w:val="24"/>
          <w:szCs w:val="24"/>
          <w:u w:val="none"/>
        </w:rPr>
      </w:pPr>
      <w:r>
        <w:rPr>
          <w:rFonts w:hint="eastAsia" w:ascii="方正仿宋_GBK" w:hAnsi="宋体" w:eastAsia="方正仿宋_GBK"/>
          <w:color w:val="000000"/>
          <w:sz w:val="24"/>
          <w:szCs w:val="24"/>
          <w:u w:val="none"/>
        </w:rPr>
        <w:t>（二）组织机构代码证复印件</w:t>
      </w:r>
    </w:p>
    <w:p>
      <w:pPr>
        <w:pStyle w:val="6"/>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000000"/>
          <w:sz w:val="24"/>
          <w:szCs w:val="24"/>
        </w:rPr>
      </w:pPr>
      <w:r>
        <w:rPr>
          <w:rFonts w:hint="eastAsia" w:ascii="方正仿宋_GBK" w:hAnsi="宋体" w:eastAsia="方正仿宋_GBK"/>
          <w:color w:val="000000"/>
          <w:sz w:val="24"/>
          <w:szCs w:val="24"/>
          <w:u w:val="none"/>
          <w:lang w:eastAsia="zh-CN"/>
        </w:rPr>
        <w:t>（三）</w:t>
      </w:r>
      <w:r>
        <w:rPr>
          <w:rFonts w:hint="eastAsia" w:ascii="方正仿宋_GBK" w:hAnsi="宋体" w:eastAsia="方正仿宋_GBK"/>
          <w:color w:val="000000"/>
          <w:sz w:val="24"/>
          <w:szCs w:val="24"/>
          <w:u w:val="none"/>
        </w:rPr>
        <w:t>税务登记证（副本）复印件</w:t>
      </w: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60"/>
        <w:rPr>
          <w:rFonts w:ascii="方正仿宋_GBK" w:hAnsi="仿宋" w:eastAsia="方正仿宋_GBK"/>
          <w:sz w:val="24"/>
          <w:szCs w:val="24"/>
        </w:rPr>
      </w:pPr>
      <w:r>
        <w:rPr>
          <w:rFonts w:hint="eastAsia" w:ascii="方正仿宋_GBK" w:hAnsi="仿宋" w:eastAsia="方正仿宋_GBK"/>
          <w:sz w:val="24"/>
          <w:szCs w:val="24"/>
        </w:rPr>
        <w:t>说明：供应商按“</w:t>
      </w:r>
      <w:r>
        <w:rPr>
          <w:rFonts w:hint="eastAsia" w:ascii="方正仿宋_GBK" w:hAnsi="仿宋" w:eastAsia="方正仿宋_GBK"/>
          <w:sz w:val="24"/>
          <w:szCs w:val="24"/>
          <w:lang w:eastAsia="zh-CN"/>
        </w:rPr>
        <w:t>多</w:t>
      </w:r>
      <w:r>
        <w:rPr>
          <w:rFonts w:hint="eastAsia" w:ascii="方正仿宋_GBK" w:hAnsi="仿宋" w:eastAsia="方正仿宋_GBK"/>
          <w:sz w:val="24"/>
          <w:szCs w:val="24"/>
        </w:rPr>
        <w:t>证合一”登记制度办理营业执照的，组织机构代码证、税务登记证（副本）和社会保险登记证以供应商所提供的营业执照（副本）复印件为准。</w:t>
      </w:r>
    </w:p>
    <w:p>
      <w:pPr>
        <w:widowControl/>
        <w:ind w:firstLine="420" w:firstLineChars="200"/>
        <w:jc w:val="center"/>
        <w:rPr>
          <w:rFonts w:ascii="方正仿宋_GBK" w:hAnsi="宋体" w:eastAsia="方正仿宋_GBK"/>
          <w:sz w:val="28"/>
          <w:szCs w:val="28"/>
        </w:rPr>
      </w:pPr>
      <w:r>
        <w:rPr>
          <w:rFonts w:ascii="方正仿宋_GBK" w:hAnsi="宋体" w:eastAsia="方正仿宋_GBK"/>
        </w:rPr>
        <w:br w:type="page"/>
      </w: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 xml:space="preserve">             </w:t>
      </w:r>
      <w:r>
        <w:rPr>
          <w:rFonts w:hint="eastAsia" w:ascii="方正仿宋_GBK" w:hAnsi="宋体" w:eastAsia="方正仿宋_GBK"/>
          <w:sz w:val="24"/>
          <w:u w:val="none"/>
          <w:lang w:val="en-US" w:eastAsia="zh-CN"/>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rPr>
          <w:rFonts w:ascii="方正仿宋_GBK" w:hAnsi="宋体" w:eastAsia="方正仿宋_GBK"/>
          <w:sz w:val="28"/>
          <w:szCs w:val="28"/>
        </w:rPr>
      </w:pPr>
      <w:r>
        <w:br w:type="column"/>
      </w: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pStyle w:val="4"/>
      </w:pPr>
    </w:p>
    <w:p/>
    <w:p>
      <w:pPr>
        <w:tabs>
          <w:tab w:val="left" w:pos="6300"/>
        </w:tabs>
        <w:snapToGrid w:val="0"/>
        <w:spacing w:line="500" w:lineRule="exact"/>
        <w:rPr>
          <w:rFonts w:hint="eastAsia"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w:t>
      </w:r>
      <w:r>
        <w:rPr>
          <w:rFonts w:hint="eastAsia" w:ascii="方正仿宋_GBK" w:hAnsi="宋体" w:eastAsia="方正仿宋_GBK"/>
          <w:sz w:val="24"/>
          <w:lang w:eastAsia="zh-CN"/>
        </w:rPr>
        <w:t>六</w:t>
      </w:r>
      <w:r>
        <w:rPr>
          <w:rFonts w:hint="eastAsia" w:ascii="方正仿宋_GBK" w:hAnsi="宋体" w:eastAsia="方正仿宋_GBK"/>
          <w:sz w:val="24"/>
        </w:rPr>
        <w:t>）书面声明</w:t>
      </w:r>
    </w:p>
    <w:p>
      <w:pPr>
        <w:tabs>
          <w:tab w:val="left" w:pos="6300"/>
        </w:tabs>
        <w:snapToGrid w:val="0"/>
        <w:spacing w:line="5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书面声明</w:t>
      </w:r>
    </w:p>
    <w:p>
      <w:pPr>
        <w:tabs>
          <w:tab w:val="left" w:pos="6300"/>
        </w:tabs>
        <w:snapToGrid w:val="0"/>
        <w:spacing w:line="500" w:lineRule="exact"/>
        <w:ind w:firstLine="480" w:firstLineChars="200"/>
        <w:jc w:val="center"/>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 xml:space="preserve">            </w:t>
      </w:r>
      <w:r>
        <w:rPr>
          <w:rFonts w:hint="eastAsia" w:ascii="方正仿宋_GBK" w:hAnsi="宋体" w:eastAsia="方正仿宋_GBK"/>
          <w:sz w:val="24"/>
          <w:u w:val="single"/>
        </w:rPr>
        <w:t xml:space="preserve">  </w:t>
      </w:r>
      <w:r>
        <w:rPr>
          <w:rFonts w:hint="eastAsia" w:ascii="方正仿宋_GBK" w:hAnsi="宋体" w:eastAsia="方正仿宋_GBK"/>
          <w:sz w:val="24"/>
          <w:u w:val="none"/>
          <w:lang w:eastAsia="zh-CN"/>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80" w:firstLineChars="20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方正仿宋_GBK" w:hAnsi="宋体" w:eastAsia="方正仿宋_GBK" w:cs="Times New Roman"/>
          <w:sz w:val="24"/>
          <w:lang w:eastAsia="zh-CN"/>
        </w:rPr>
      </w:pPr>
      <w:r>
        <w:rPr>
          <w:rFonts w:ascii="宋体" w:hAnsi="宋体"/>
        </w:rPr>
        <w:br w:type="page"/>
      </w:r>
      <w:r>
        <w:rPr>
          <w:rFonts w:hint="eastAsia" w:ascii="方正仿宋_GBK" w:hAnsi="宋体" w:eastAsia="方正仿宋_GBK" w:cs="Times New Roman"/>
          <w:sz w:val="24"/>
          <w:lang w:eastAsia="zh-CN"/>
        </w:rPr>
        <w:t>（七）</w:t>
      </w:r>
      <w:r>
        <w:rPr>
          <w:rFonts w:hint="eastAsia" w:ascii="方正仿宋_GBK" w:hAnsi="宋体" w:eastAsia="方正仿宋_GBK" w:cs="Times New Roman"/>
          <w:sz w:val="24"/>
          <w:lang w:val="en-US" w:eastAsia="zh-CN"/>
        </w:rPr>
        <w:t>2023年</w:t>
      </w:r>
      <w:r>
        <w:rPr>
          <w:rFonts w:hint="eastAsia" w:ascii="方正仿宋_GBK" w:hAnsi="宋体" w:eastAsia="方正仿宋_GBK" w:cs="Times New Roman"/>
          <w:sz w:val="24"/>
          <w:lang w:eastAsia="zh-CN"/>
        </w:rPr>
        <w:t>度财务状况报告（表）（表：资产负债表和损益表）复印件。本年度新成立或成立不满一年的组织提供投标截止时间前一个月的财务报告（表）复印件或可提供银行出具的资信证明复印件。自然人无法提供财务状况报告（表）的，可提供银行出具的资信证明复印件。</w:t>
      </w: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（八）社会保障金缴纳证明材料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缴纳社会</w:t>
      </w:r>
      <w:r>
        <w:rPr>
          <w:rFonts w:hint="eastAsia" w:ascii="方正仿宋_GBK" w:hAnsi="宋体" w:eastAsia="方正仿宋_GBK"/>
          <w:sz w:val="24"/>
          <w:szCs w:val="24"/>
          <w:lang w:eastAsia="zh-CN"/>
        </w:rPr>
        <w:t>保障金</w:t>
      </w:r>
      <w:r>
        <w:rPr>
          <w:rFonts w:hint="eastAsia" w:ascii="方正仿宋_GBK" w:hAnsi="宋体" w:eastAsia="方正仿宋_GBK"/>
          <w:sz w:val="24"/>
          <w:szCs w:val="24"/>
        </w:rPr>
        <w:t>的证明材料指：缴纳社会保险的凭据（专用收据或社会保险缴纳清单）</w:t>
      </w:r>
      <w:r>
        <w:rPr>
          <w:rFonts w:hint="eastAsia" w:ascii="方正仿宋_GBK" w:hAnsi="宋体" w:eastAsia="方正仿宋_GBK"/>
          <w:sz w:val="24"/>
          <w:szCs w:val="24"/>
          <w:lang w:eastAsia="zh-CN"/>
        </w:rPr>
        <w:t>。</w:t>
      </w:r>
    </w:p>
    <w:p>
      <w:pPr>
        <w:tabs>
          <w:tab w:val="left" w:pos="6300"/>
        </w:tabs>
        <w:snapToGrid w:val="0"/>
        <w:spacing w:line="500" w:lineRule="exact"/>
        <w:rPr>
          <w:rFonts w:hint="eastAsia" w:ascii="方正仿宋_GBK" w:hAnsi="宋体" w:eastAsia="方正仿宋_GBK"/>
          <w:sz w:val="24"/>
          <w:szCs w:val="24"/>
        </w:rPr>
      </w:pPr>
    </w:p>
    <w:p>
      <w:pPr>
        <w:pStyle w:val="4"/>
        <w:rPr>
          <w:rFonts w:hint="eastAsia"/>
          <w:lang w:eastAsia="zh-CN"/>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rPr>
          <w:rFonts w:hint="eastAsia"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九</w:t>
      </w:r>
      <w:r>
        <w:rPr>
          <w:rFonts w:hint="eastAsia" w:ascii="方正仿宋_GBK" w:hAnsi="宋体" w:eastAsia="方正仿宋_GBK"/>
          <w:sz w:val="24"/>
          <w:szCs w:val="24"/>
        </w:rPr>
        <w:t>）特定资格条件证书或证明文件</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ascii="方正仿宋_GBK" w:hAnsi="宋体" w:eastAsia="方正仿宋_GBK"/>
          <w:sz w:val="24"/>
          <w:szCs w:val="24"/>
        </w:rPr>
      </w:pPr>
      <w:r>
        <w:rPr>
          <w:rFonts w:ascii="方正仿宋_GBK" w:hAnsi="宋体" w:eastAsia="方正仿宋_GBK"/>
          <w:sz w:val="24"/>
          <w:szCs w:val="24"/>
        </w:rPr>
        <w:br w:type="page"/>
      </w:r>
      <w:bookmarkStart w:id="42" w:name="_Toc511909627"/>
      <w:r>
        <w:rPr>
          <w:rFonts w:hint="eastAsia" w:ascii="方正仿宋_GBK" w:hAnsi="宋体" w:eastAsia="方正仿宋_GBK"/>
          <w:sz w:val="24"/>
          <w:szCs w:val="24"/>
        </w:rPr>
        <w:t>五、</w:t>
      </w:r>
      <w:bookmarkEnd w:id="39"/>
      <w:bookmarkEnd w:id="40"/>
      <w:bookmarkEnd w:id="41"/>
      <w:r>
        <w:rPr>
          <w:rFonts w:hint="eastAsia" w:ascii="方正仿宋_GBK" w:eastAsia="方正仿宋_GBK"/>
          <w:sz w:val="24"/>
          <w:szCs w:val="24"/>
        </w:rPr>
        <w:t>其他</w:t>
      </w:r>
      <w:bookmarkEnd w:id="42"/>
      <w:r>
        <w:rPr>
          <w:rFonts w:hint="eastAsia" w:ascii="方正仿宋_GBK" w:hAnsi="宋体" w:eastAsia="方正仿宋_GBK"/>
          <w:sz w:val="24"/>
        </w:rPr>
        <w:t>与项目有关的</w:t>
      </w:r>
      <w:r>
        <w:rPr>
          <w:rFonts w:hint="eastAsia" w:ascii="方正仿宋_GBK" w:hAnsi="宋体" w:eastAsia="方正仿宋_GBK" w:cs="Times New Roman"/>
          <w:sz w:val="24"/>
        </w:rPr>
        <w:t>资料（自附）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其他与项目有关的资料（自附）：供应商总体情况介绍、其他与本项目有关的资料等。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24"/>
          <w:lang w:val="en-US" w:eastAsia="zh-CN"/>
        </w:rPr>
      </w:pPr>
    </w:p>
    <w:p>
      <w:pPr>
        <w:pStyle w:val="4"/>
        <w:rPr>
          <w:rFonts w:hint="eastAsia" w:ascii="方正仿宋_GBK" w:hAnsi="方正仿宋_GBK" w:eastAsia="方正仿宋_GBK" w:cs="方正仿宋_GBK"/>
          <w:sz w:val="24"/>
          <w:szCs w:val="24"/>
          <w:lang w:val="en-US" w:eastAsia="zh-CN"/>
        </w:rPr>
      </w:pPr>
    </w:p>
    <w:p>
      <w:pPr>
        <w:spacing w:line="360" w:lineRule="auto"/>
        <w:ind w:firstLine="480" w:firstLineChars="200"/>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（结束）</w:t>
      </w:r>
    </w:p>
    <w:p>
      <w:pPr>
        <w:pStyle w:val="3"/>
        <w:jc w:val="center"/>
        <w:outlineLvl w:val="1"/>
        <w:rPr>
          <w:rFonts w:hint="eastAsia" w:ascii="方正仿宋_GBK" w:hAnsi="方正仿宋_GBK" w:eastAsia="方正仿宋_GBK" w:cs="方正仿宋_GBK"/>
          <w:sz w:val="32"/>
          <w:szCs w:val="32"/>
        </w:rPr>
      </w:pPr>
      <w:bookmarkStart w:id="43" w:name="_Toc28773"/>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both"/>
        <w:outlineLvl w:val="1"/>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6"/>
        <w:rPr>
          <w:rFonts w:hint="eastAsia" w:ascii="方正仿宋_GBK" w:hAnsi="方正仿宋_GBK" w:eastAsia="方正仿宋_GBK" w:cs="方正仿宋_GBK"/>
          <w:sz w:val="32"/>
          <w:szCs w:val="32"/>
        </w:rPr>
      </w:pPr>
    </w:p>
    <w:p>
      <w:pPr>
        <w:rPr>
          <w:rFonts w:hint="eastAsia"/>
        </w:rPr>
      </w:pPr>
    </w:p>
    <w:bookmarkEnd w:id="43"/>
    <w:p>
      <w:pPr>
        <w:rPr>
          <w:rFonts w:hint="eastAsia"/>
          <w:lang w:val="en-US" w:eastAsia="zh-CN"/>
        </w:rPr>
      </w:pPr>
    </w:p>
    <w:sectPr>
      <w:pgSz w:w="11905" w:h="16838"/>
      <w:pgMar w:top="1134" w:right="1134" w:bottom="1134"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 Ming Li U">
    <w:altName w:val="宋体"/>
    <w:panose1 w:val="00000000000000000000"/>
    <w:charset w:val="86"/>
    <w:family w:val="auto"/>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422"/>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10"/>
                      <w:ind w:firstLine="422"/>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1A1"/>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0184"/>
    <w:rsid w:val="0020392E"/>
    <w:rsid w:val="00212119"/>
    <w:rsid w:val="00213AB1"/>
    <w:rsid w:val="00220B9D"/>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1C48"/>
    <w:rsid w:val="00323885"/>
    <w:rsid w:val="00332953"/>
    <w:rsid w:val="00333A2F"/>
    <w:rsid w:val="00335451"/>
    <w:rsid w:val="0033552F"/>
    <w:rsid w:val="00352D13"/>
    <w:rsid w:val="00353154"/>
    <w:rsid w:val="00353FA8"/>
    <w:rsid w:val="00371F72"/>
    <w:rsid w:val="0037315E"/>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331D"/>
    <w:rsid w:val="00664DD7"/>
    <w:rsid w:val="00676C74"/>
    <w:rsid w:val="00682CB2"/>
    <w:rsid w:val="00683834"/>
    <w:rsid w:val="00685DE9"/>
    <w:rsid w:val="006866F4"/>
    <w:rsid w:val="00686B17"/>
    <w:rsid w:val="006941D9"/>
    <w:rsid w:val="00695C1C"/>
    <w:rsid w:val="006A3BED"/>
    <w:rsid w:val="006D76CD"/>
    <w:rsid w:val="006F12E8"/>
    <w:rsid w:val="006F1A4D"/>
    <w:rsid w:val="006F6D7B"/>
    <w:rsid w:val="007027A4"/>
    <w:rsid w:val="00707D50"/>
    <w:rsid w:val="00713E04"/>
    <w:rsid w:val="00715FE0"/>
    <w:rsid w:val="00723535"/>
    <w:rsid w:val="00726A7E"/>
    <w:rsid w:val="00727A44"/>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47CFE"/>
    <w:rsid w:val="009505E7"/>
    <w:rsid w:val="00954B06"/>
    <w:rsid w:val="0095636F"/>
    <w:rsid w:val="00967B99"/>
    <w:rsid w:val="00974663"/>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3D81"/>
    <w:rsid w:val="00BB5488"/>
    <w:rsid w:val="00BC1CAC"/>
    <w:rsid w:val="00BD2256"/>
    <w:rsid w:val="00BD4DD0"/>
    <w:rsid w:val="00BE0706"/>
    <w:rsid w:val="00BE0996"/>
    <w:rsid w:val="00BF15D9"/>
    <w:rsid w:val="00BF4A7D"/>
    <w:rsid w:val="00BF5DF2"/>
    <w:rsid w:val="00C03D72"/>
    <w:rsid w:val="00C238AC"/>
    <w:rsid w:val="00C24A9B"/>
    <w:rsid w:val="00C271CC"/>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13151A9"/>
    <w:rsid w:val="01974982"/>
    <w:rsid w:val="01AD1CF5"/>
    <w:rsid w:val="02207004"/>
    <w:rsid w:val="069B3136"/>
    <w:rsid w:val="08090D3B"/>
    <w:rsid w:val="0B4C0974"/>
    <w:rsid w:val="0E3607EC"/>
    <w:rsid w:val="0E6C555B"/>
    <w:rsid w:val="0EB63248"/>
    <w:rsid w:val="0F6B4757"/>
    <w:rsid w:val="13FF1CB2"/>
    <w:rsid w:val="14A128C5"/>
    <w:rsid w:val="17490E7B"/>
    <w:rsid w:val="183C54A4"/>
    <w:rsid w:val="185E4508"/>
    <w:rsid w:val="192C4DC0"/>
    <w:rsid w:val="1AC93DA6"/>
    <w:rsid w:val="1B060B40"/>
    <w:rsid w:val="1C655FCE"/>
    <w:rsid w:val="288F2AE5"/>
    <w:rsid w:val="2A1C758D"/>
    <w:rsid w:val="2C1C3EC0"/>
    <w:rsid w:val="2FFD56E2"/>
    <w:rsid w:val="306446B1"/>
    <w:rsid w:val="32156516"/>
    <w:rsid w:val="3437165C"/>
    <w:rsid w:val="34B841D5"/>
    <w:rsid w:val="38B3116B"/>
    <w:rsid w:val="392B0E4F"/>
    <w:rsid w:val="3EC53992"/>
    <w:rsid w:val="487428D8"/>
    <w:rsid w:val="4DEC442A"/>
    <w:rsid w:val="52E76FCD"/>
    <w:rsid w:val="534D396D"/>
    <w:rsid w:val="5580128C"/>
    <w:rsid w:val="564F1240"/>
    <w:rsid w:val="60C01A17"/>
    <w:rsid w:val="60E10000"/>
    <w:rsid w:val="6414724B"/>
    <w:rsid w:val="64765BAF"/>
    <w:rsid w:val="64BB417E"/>
    <w:rsid w:val="66952170"/>
    <w:rsid w:val="66EA6108"/>
    <w:rsid w:val="699E6BE6"/>
    <w:rsid w:val="6CD92E70"/>
    <w:rsid w:val="6EDB5FA5"/>
    <w:rsid w:val="739B11A1"/>
    <w:rsid w:val="74357033"/>
    <w:rsid w:val="7E9B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0"/>
    <w:pPr>
      <w:keepNext/>
      <w:keepLines/>
      <w:spacing w:before="260" w:after="260" w:line="413" w:lineRule="auto"/>
      <w:outlineLvl w:val="2"/>
    </w:pPr>
    <w:rPr>
      <w:b/>
      <w:sz w:val="32"/>
      <w:szCs w:val="20"/>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ubtitle"/>
    <w:basedOn w:val="1"/>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6">
    <w:name w:val="Body Text"/>
    <w:basedOn w:val="1"/>
    <w:next w:val="7"/>
    <w:qFormat/>
    <w:uiPriority w:val="0"/>
    <w:pPr>
      <w:widowControl w:val="0"/>
      <w:spacing w:after="120"/>
    </w:pPr>
    <w:rPr>
      <w:rFonts w:ascii="宋体" w:hAnsi="宋体"/>
      <w:sz w:val="28"/>
      <w:szCs w:val="20"/>
      <w:lang w:eastAsia="en-US"/>
    </w:rPr>
  </w:style>
  <w:style w:type="paragraph" w:styleId="7">
    <w:name w:val="Body Text First Indent"/>
    <w:basedOn w:val="6"/>
    <w:next w:val="1"/>
    <w:qFormat/>
    <w:uiPriority w:val="0"/>
    <w:pPr>
      <w:spacing w:line="360" w:lineRule="auto"/>
      <w:ind w:firstLine="420"/>
    </w:pPr>
    <w:rPr>
      <w:rFonts w:ascii="宋体" w:hAnsi="宋体"/>
      <w:sz w:val="24"/>
    </w:rPr>
  </w:style>
  <w:style w:type="paragraph" w:styleId="8">
    <w:name w:val="Date"/>
    <w:basedOn w:val="1"/>
    <w:next w:val="1"/>
    <w:link w:val="22"/>
    <w:qFormat/>
    <w:uiPriority w:val="0"/>
    <w:rPr>
      <w:rFonts w:asciiTheme="minorHAnsi" w:hAnsiTheme="minorHAnsi" w:eastAsiaTheme="minorEastAsia" w:cstheme="minorBidi"/>
      <w:sz w:val="28"/>
      <w:szCs w:val="22"/>
    </w:rPr>
  </w:style>
  <w:style w:type="paragraph" w:styleId="9">
    <w:name w:val="Balloon Text"/>
    <w:basedOn w:val="1"/>
    <w:link w:val="23"/>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180" w:lineRule="auto"/>
      <w:jc w:val="center"/>
    </w:pPr>
    <w:rPr>
      <w:sz w:val="30"/>
      <w:szCs w:val="20"/>
    </w:rPr>
  </w:style>
  <w:style w:type="table" w:styleId="14">
    <w:name w:val="Table Grid"/>
    <w:basedOn w:val="1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0"/>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3 Char"/>
    <w:basedOn w:val="15"/>
    <w:link w:val="4"/>
    <w:qFormat/>
    <w:uiPriority w:val="0"/>
    <w:rPr>
      <w:rFonts w:ascii="Times New Roman" w:hAnsi="Times New Roman" w:eastAsia="宋体" w:cs="Times New Roman"/>
      <w:b/>
      <w:sz w:val="32"/>
      <w:szCs w:val="20"/>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日期 Char"/>
    <w:link w:val="8"/>
    <w:qFormat/>
    <w:uiPriority w:val="0"/>
    <w:rPr>
      <w:sz w:val="28"/>
    </w:rPr>
  </w:style>
  <w:style w:type="character" w:customStyle="1" w:styleId="22">
    <w:name w:val="日期 Char1"/>
    <w:basedOn w:val="15"/>
    <w:link w:val="8"/>
    <w:semiHidden/>
    <w:qFormat/>
    <w:uiPriority w:val="99"/>
    <w:rPr>
      <w:rFonts w:ascii="Times New Roman" w:hAnsi="Times New Roman" w:eastAsia="宋体" w:cs="Times New Roman"/>
      <w:szCs w:val="24"/>
    </w:rPr>
  </w:style>
  <w:style w:type="character" w:customStyle="1" w:styleId="23">
    <w:name w:val="批注框文本 Char"/>
    <w:basedOn w:val="15"/>
    <w:link w:val="9"/>
    <w:semiHidden/>
    <w:qFormat/>
    <w:uiPriority w:val="99"/>
    <w:rPr>
      <w:rFonts w:ascii="Times New Roman" w:hAnsi="Times New Roman" w:eastAsia="宋体" w:cs="Times New Roman"/>
      <w:sz w:val="18"/>
      <w:szCs w:val="18"/>
    </w:rPr>
  </w:style>
  <w:style w:type="paragraph" w:customStyle="1" w:styleId="24">
    <w:name w:val="列出段落1"/>
    <w:basedOn w:val="1"/>
    <w:qFormat/>
    <w:uiPriority w:val="34"/>
    <w:pPr>
      <w:ind w:firstLine="420" w:firstLineChars="200"/>
    </w:pPr>
  </w:style>
  <w:style w:type="paragraph" w:customStyle="1" w:styleId="25">
    <w:name w:val="Default"/>
    <w:qFormat/>
    <w:uiPriority w:val="0"/>
    <w:pPr>
      <w:widowControl w:val="0"/>
      <w:autoSpaceDE w:val="0"/>
      <w:autoSpaceDN w:val="0"/>
      <w:adjustRightInd w:val="0"/>
    </w:pPr>
    <w:rPr>
      <w:rFonts w:ascii="P Ming Li U" w:hAnsi="Times New Roman" w:eastAsia="P Ming Li U" w:cs="P Ming Li U"/>
      <w:color w:val="000000"/>
      <w:sz w:val="24"/>
      <w:szCs w:val="24"/>
      <w:lang w:val="en-US" w:eastAsia="zh-CN" w:bidi="ar-SA"/>
    </w:rPr>
  </w:style>
  <w:style w:type="paragraph" w:customStyle="1" w:styleId="26">
    <w:name w:val="UserStyle_89"/>
    <w:basedOn w:val="1"/>
    <w:next w:val="27"/>
    <w:qFormat/>
    <w:uiPriority w:val="0"/>
    <w:rPr>
      <w:rFonts w:ascii="宋体" w:hAnsi="Courier New"/>
      <w:sz w:val="21"/>
    </w:rPr>
  </w:style>
  <w:style w:type="paragraph" w:customStyle="1" w:styleId="27">
    <w:name w:val="PlainText"/>
    <w:basedOn w:val="1"/>
    <w:qFormat/>
    <w:uiPriority w:val="0"/>
    <w:rPr>
      <w:rFonts w:ascii="宋体" w:hAnsi="Courier New"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7323</Words>
  <Characters>7604</Characters>
  <Lines>55</Lines>
  <Paragraphs>15</Paragraphs>
  <TotalTime>8</TotalTime>
  <ScaleCrop>false</ScaleCrop>
  <LinksUpToDate>false</LinksUpToDate>
  <CharactersWithSpaces>8560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阿瑞</cp:lastModifiedBy>
  <cp:lastPrinted>2021-05-21T07:20:00Z</cp:lastPrinted>
  <dcterms:modified xsi:type="dcterms:W3CDTF">2024-06-11T09:17:29Z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SaveFontToCloudKey">
    <vt:lpwstr>992573165_cloud</vt:lpwstr>
  </property>
  <property fmtid="{D5CDD505-2E9C-101B-9397-08002B2CF9AE}" pid="4" name="ICV">
    <vt:lpwstr>0DCAC5C187804151BF6AF4ED9A72D51D</vt:lpwstr>
  </property>
</Properties>
</file>